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D90DA" w14:textId="7FA6D791" w:rsidR="0007639F" w:rsidRPr="0055299A" w:rsidRDefault="004D7863" w:rsidP="007E1676">
      <w:pPr>
        <w:spacing w:after="0" w:line="259" w:lineRule="auto"/>
        <w:ind w:left="0" w:right="5" w:firstLine="0"/>
        <w:jc w:val="center"/>
        <w:rPr>
          <w:bCs/>
        </w:rPr>
      </w:pPr>
      <w:r>
        <w:rPr>
          <w:noProof/>
        </w:rPr>
        <mc:AlternateContent>
          <mc:Choice Requires="wpg">
            <w:drawing>
              <wp:inline distT="0" distB="0" distL="114300" distR="114300" wp14:anchorId="4E4338B1" wp14:editId="3DF2F29B">
                <wp:extent cx="876290" cy="709931"/>
                <wp:effectExtent l="0" t="0" r="0" b="0"/>
                <wp:docPr id="1713249524" name="Group 6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290" cy="709931"/>
                          <a:chOff x="0" y="0"/>
                          <a:chExt cx="876290" cy="709931"/>
                        </a:xfrm>
                      </wpg:grpSpPr>
                      <pic:pic xmlns:pic="http://schemas.openxmlformats.org/drawingml/2006/picture">
                        <pic:nvPicPr>
                          <pic:cNvPr id="7790" name="Picture 77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-2293" y="-2292"/>
                            <a:ext cx="877824" cy="7132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640713" y="266278"/>
                            <a:ext cx="41228" cy="2226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1CFA4A" w14:textId="77777777" w:rsidR="0007639F" w:rsidRDefault="004D78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a="http://schemas.openxmlformats.org/drawingml/2006/main" xmlns:pic="http://schemas.openxmlformats.org/drawingml/2006/picture">
            <w:pict xmlns:w14="http://schemas.microsoft.com/office/word/2010/wordml" xmlns:w="http://schemas.openxmlformats.org/wordprocessingml/2006/main" w14:anchorId="7A584EF4">
              <v:group xmlns:v="urn:schemas-microsoft-com:vml" id="Group 6967" style="width:68.9992pt;height:55.9pt;position:absolute;mso-position-horizontal-relative:page;mso-position-horizontal:absolute;margin-left:20.8206pt;mso-position-vertical-relative:page;margin-top:14.8206pt;" coordsize="8762,7099">
                <v:shape id="Picture 7790" style="position:absolute;width:8778;height:7132;left:-22;top:-22;" filled="f">
                  <v:imagedata xmlns:r="http://schemas.openxmlformats.org/officeDocument/2006/relationships" r:id="rId11"/>
                </v:shape>
                <v:rect id="Rectangle 8" style="position:absolute;width:412;height:2226;left:6407;top:2662;" filled="f" stroked="f">
                  <v:textbox inset="0,0,0,0">
                    <w:txbxContent>
                      <w:p xmlns:wp14="http://schemas.microsoft.com/office/word/2010/wordml" w14:paraId="0C77898F" wp14:textId="77777777"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hAnsi="Calibri" w:eastAsia="Calibri" w:cs="Calibri"/>
                            <w:sz w:val="22"/>
                          </w:rPr>
                          <w:t xml:space="preserve">	</w:t>
                        </w:r>
                      </w:p>
                    </w:txbxContent>
                  </v:textbox>
                </v:rect>
                <w10:wrap xmlns:w10="urn:schemas-microsoft-com:office:word" type="topAndBottom"/>
              </v:group>
            </w:pict>
          </mc:Fallback>
        </mc:AlternateContent>
      </w:r>
      <w:r w:rsidRPr="1D0E713B">
        <w:rPr>
          <w:b/>
          <w:bCs/>
        </w:rPr>
        <w:t xml:space="preserve">REGLEMENT </w:t>
      </w:r>
      <w:r w:rsidR="0059398C">
        <w:rPr>
          <w:b/>
          <w:bCs/>
        </w:rPr>
        <w:t>RELATIF À</w:t>
      </w:r>
      <w:r w:rsidR="0059398C" w:rsidRPr="1D0E713B">
        <w:rPr>
          <w:b/>
          <w:bCs/>
        </w:rPr>
        <w:t xml:space="preserve"> </w:t>
      </w:r>
      <w:r w:rsidRPr="1D0E713B">
        <w:rPr>
          <w:b/>
          <w:bCs/>
        </w:rPr>
        <w:t xml:space="preserve">L’INDEMNISATION DES FRAIS DE FORMATION CONTINUE DES </w:t>
      </w:r>
      <w:r w:rsidRPr="007E1676">
        <w:rPr>
          <w:b/>
          <w:bCs/>
        </w:rPr>
        <w:t xml:space="preserve">COLLABORATEURS ET COLLABORATRICES SCIENTIFIQUES DE L’UNIVERSITE DE FRIBOURG </w:t>
      </w:r>
    </w:p>
    <w:p w14:paraId="2D0AFFD2" w14:textId="57983B09" w:rsidR="0007639F" w:rsidRPr="003119D4" w:rsidRDefault="004D7863" w:rsidP="1D0E713B">
      <w:pPr>
        <w:spacing w:after="9" w:line="259" w:lineRule="auto"/>
        <w:ind w:left="0" w:right="0" w:firstLine="0"/>
        <w:jc w:val="left"/>
        <w:rPr>
          <w:i/>
          <w:iCs/>
        </w:rPr>
      </w:pPr>
      <w:proofErr w:type="gramStart"/>
      <w:r w:rsidRPr="1D0E713B">
        <w:rPr>
          <w:i/>
          <w:iCs/>
        </w:rPr>
        <w:t>du</w:t>
      </w:r>
      <w:proofErr w:type="gramEnd"/>
      <w:r w:rsidRPr="1D0E713B">
        <w:rPr>
          <w:i/>
          <w:iCs/>
        </w:rPr>
        <w:t xml:space="preserve"> 1</w:t>
      </w:r>
      <w:r w:rsidRPr="1D0E713B">
        <w:rPr>
          <w:i/>
          <w:iCs/>
          <w:vertAlign w:val="superscript"/>
        </w:rPr>
        <w:t>er</w:t>
      </w:r>
      <w:r w:rsidRPr="1D0E713B">
        <w:rPr>
          <w:i/>
          <w:iCs/>
        </w:rPr>
        <w:t xml:space="preserve"> mai 2018</w:t>
      </w:r>
      <w:r w:rsidR="003119D4" w:rsidRPr="1D0E713B">
        <w:t xml:space="preserve"> </w:t>
      </w:r>
      <w:r w:rsidR="003119D4" w:rsidRPr="1D0E713B">
        <w:rPr>
          <w:i/>
          <w:iCs/>
        </w:rPr>
        <w:t>(modification du</w:t>
      </w:r>
      <w:r w:rsidR="0050028F" w:rsidRPr="1D0E713B">
        <w:rPr>
          <w:i/>
          <w:iCs/>
        </w:rPr>
        <w:t xml:space="preserve"> </w:t>
      </w:r>
      <w:r w:rsidR="00992B76">
        <w:rPr>
          <w:i/>
          <w:iCs/>
        </w:rPr>
        <w:t xml:space="preserve">22 Mai </w:t>
      </w:r>
      <w:r w:rsidR="007E1676">
        <w:rPr>
          <w:i/>
          <w:iCs/>
        </w:rPr>
        <w:t>2025</w:t>
      </w:r>
      <w:r w:rsidR="003119D4" w:rsidRPr="1D0E713B">
        <w:rPr>
          <w:i/>
          <w:iCs/>
        </w:rPr>
        <w:t>)</w:t>
      </w:r>
    </w:p>
    <w:p w14:paraId="1A04E219" w14:textId="31839843" w:rsidR="0007639F" w:rsidRDefault="004D7863">
      <w:pPr>
        <w:ind w:left="0" w:right="0" w:firstLine="0"/>
      </w:pPr>
      <w:r w:rsidRPr="1D0E713B">
        <w:t>L’Assemblée générale des collaborateurs et collaboratrices scientifiques de l’Université de Fribourg,</w:t>
      </w:r>
      <w:r w:rsidRPr="1D0E713B">
        <w:rPr>
          <w:i/>
          <w:iCs/>
        </w:rPr>
        <w:t xml:space="preserve"> </w:t>
      </w:r>
      <w:r w:rsidRPr="1D0E713B">
        <w:t xml:space="preserve">vu l’art. 15, al. 4 des Statuts du corps des collaborateurs et collaboratrices scientifiques du 10 janvier </w:t>
      </w:r>
      <w:r w:rsidR="008F4487" w:rsidRPr="1D0E713B">
        <w:t xml:space="preserve">2001, </w:t>
      </w:r>
      <w:r w:rsidR="008F4487" w:rsidRPr="1D0E713B">
        <w:rPr>
          <w:i/>
          <w:iCs/>
        </w:rPr>
        <w:t>arrête</w:t>
      </w:r>
      <w:r w:rsidRPr="1D0E713B">
        <w:rPr>
          <w:i/>
          <w:iCs/>
        </w:rPr>
        <w:t xml:space="preserve"> : </w:t>
      </w:r>
    </w:p>
    <w:p w14:paraId="4862A582" w14:textId="77777777" w:rsidR="0007639F" w:rsidRDefault="004D7863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14:paraId="0B74508F" w14:textId="77777777" w:rsidR="0007639F" w:rsidRDefault="004D7863">
      <w:pPr>
        <w:pStyle w:val="Heading1"/>
        <w:ind w:left="-5" w:right="0"/>
      </w:pPr>
      <w:r>
        <w:t xml:space="preserve">Article 1. But et objectifs </w:t>
      </w:r>
    </w:p>
    <w:p w14:paraId="084339BF" w14:textId="77777777" w:rsidR="0007639F" w:rsidRDefault="004D7863">
      <w:pPr>
        <w:numPr>
          <w:ilvl w:val="0"/>
          <w:numId w:val="1"/>
        </w:numPr>
        <w:ind w:right="0" w:hanging="357"/>
      </w:pPr>
      <w:r w:rsidRPr="1D0E713B">
        <w:t>La participation à des congrès ou à des séminaires de formation continue contribue grandement au développement professionnel des collaborateurs/</w:t>
      </w:r>
      <w:proofErr w:type="spellStart"/>
      <w:r w:rsidRPr="1D0E713B">
        <w:t>trices</w:t>
      </w:r>
      <w:proofErr w:type="spellEnd"/>
      <w:r w:rsidRPr="1D0E713B">
        <w:t xml:space="preserve"> scientifiques. </w:t>
      </w:r>
    </w:p>
    <w:p w14:paraId="160B05EB" w14:textId="40F174F9" w:rsidR="0007639F" w:rsidRDefault="004D7863">
      <w:pPr>
        <w:numPr>
          <w:ilvl w:val="0"/>
          <w:numId w:val="1"/>
        </w:numPr>
        <w:ind w:right="0" w:hanging="357"/>
      </w:pPr>
      <w:r w:rsidRPr="1D0E713B">
        <w:t xml:space="preserve">Afin de réduire la charge financière liée à la formation continue, un fonds de l’Université de Fribourg, administré par </w:t>
      </w:r>
      <w:r w:rsidR="002C1DB4" w:rsidRPr="1D0E713B">
        <w:t xml:space="preserve">le </w:t>
      </w:r>
      <w:r w:rsidR="00A34269" w:rsidRPr="1D0E713B">
        <w:t>C</w:t>
      </w:r>
      <w:r w:rsidR="00B51386" w:rsidRPr="1D0E713B">
        <w:t>omit</w:t>
      </w:r>
      <w:r w:rsidR="00F375A2" w:rsidRPr="1D0E713B">
        <w:t>é</w:t>
      </w:r>
      <w:r w:rsidRPr="1D0E713B">
        <w:t xml:space="preserve"> du CSWM verse une indemnité aux collaborateurs/</w:t>
      </w:r>
      <w:proofErr w:type="spellStart"/>
      <w:r w:rsidRPr="1D0E713B">
        <w:t>trices</w:t>
      </w:r>
      <w:proofErr w:type="spellEnd"/>
      <w:r w:rsidRPr="1D0E713B">
        <w:t xml:space="preserve"> scientifiques qui en font la requête. </w:t>
      </w:r>
    </w:p>
    <w:p w14:paraId="3FEEBE52" w14:textId="77777777" w:rsidR="0007639F" w:rsidRDefault="004D7863">
      <w:pPr>
        <w:spacing w:after="0" w:line="259" w:lineRule="auto"/>
        <w:ind w:left="499" w:right="0" w:firstLine="0"/>
        <w:jc w:val="left"/>
      </w:pPr>
      <w:r>
        <w:t xml:space="preserve"> </w:t>
      </w:r>
    </w:p>
    <w:p w14:paraId="4508213C" w14:textId="77777777" w:rsidR="0007639F" w:rsidRDefault="004D7863">
      <w:pPr>
        <w:pStyle w:val="Heading1"/>
        <w:ind w:left="-5" w:right="0"/>
      </w:pPr>
      <w:r>
        <w:t xml:space="preserve">Article 2. Activités soutenues </w:t>
      </w:r>
    </w:p>
    <w:p w14:paraId="63EFE5A5" w14:textId="77777777" w:rsidR="0007639F" w:rsidRDefault="004D7863">
      <w:pPr>
        <w:numPr>
          <w:ilvl w:val="0"/>
          <w:numId w:val="2"/>
        </w:numPr>
        <w:ind w:right="0" w:hanging="357"/>
      </w:pPr>
      <w:r w:rsidRPr="1D0E713B">
        <w:t xml:space="preserve">Sont considérés comme des activités de formation continue les congrès, colloques, cours, séminaires et ateliers au sens large, utiles à l’activité et à la recherche scientifiques du/de la </w:t>
      </w:r>
      <w:proofErr w:type="spellStart"/>
      <w:r w:rsidRPr="1D0E713B">
        <w:t>requérant-e</w:t>
      </w:r>
      <w:proofErr w:type="spellEnd"/>
      <w:r w:rsidRPr="1D0E713B">
        <w:t xml:space="preserve">. </w:t>
      </w:r>
    </w:p>
    <w:p w14:paraId="0549C589" w14:textId="77777777" w:rsidR="0007639F" w:rsidRDefault="004D7863">
      <w:pPr>
        <w:numPr>
          <w:ilvl w:val="0"/>
          <w:numId w:val="2"/>
        </w:numPr>
        <w:ind w:right="0" w:hanging="357"/>
      </w:pPr>
      <w:r>
        <w:t xml:space="preserve">Ne peut être indemnisée la participation à des cours, séminaires ou autres activités principalement destinées aux étudiants, de même qu’à des cours de langue. </w:t>
      </w:r>
    </w:p>
    <w:p w14:paraId="7A2BBD08" w14:textId="77777777" w:rsidR="0007639F" w:rsidRDefault="004D7863">
      <w:pPr>
        <w:spacing w:after="0" w:line="259" w:lineRule="auto"/>
        <w:ind w:left="499" w:right="0" w:firstLine="0"/>
        <w:jc w:val="left"/>
      </w:pPr>
      <w:r>
        <w:t xml:space="preserve"> </w:t>
      </w:r>
    </w:p>
    <w:p w14:paraId="7AFFD8CF" w14:textId="77777777" w:rsidR="0007639F" w:rsidRDefault="004D7863">
      <w:pPr>
        <w:pStyle w:val="Heading1"/>
        <w:ind w:left="-5" w:right="0"/>
      </w:pPr>
      <w:r>
        <w:t xml:space="preserve">Article 3. Cercle des requérants </w:t>
      </w:r>
    </w:p>
    <w:p w14:paraId="442D759C" w14:textId="77777777" w:rsidR="0007639F" w:rsidRDefault="004D7863">
      <w:pPr>
        <w:numPr>
          <w:ilvl w:val="0"/>
          <w:numId w:val="3"/>
        </w:numPr>
        <w:ind w:right="0" w:hanging="360"/>
      </w:pPr>
      <w:r w:rsidRPr="1D0E713B">
        <w:t>Peuvent requérir une indemnité tous les membres du corps des collaborateurs/</w:t>
      </w:r>
      <w:proofErr w:type="spellStart"/>
      <w:r w:rsidRPr="1D0E713B">
        <w:t>trices</w:t>
      </w:r>
      <w:proofErr w:type="spellEnd"/>
      <w:r w:rsidRPr="1D0E713B">
        <w:t xml:space="preserve"> scientifiques au sens de l’art. 3 des Statuts du corps des collaborateurs et collaboratrices scientifiques de l’Université de Fribourg du 10 janvier 2001. </w:t>
      </w:r>
    </w:p>
    <w:p w14:paraId="1F05B79E" w14:textId="77777777" w:rsidR="0007639F" w:rsidRDefault="004D7863">
      <w:pPr>
        <w:numPr>
          <w:ilvl w:val="0"/>
          <w:numId w:val="3"/>
        </w:numPr>
        <w:ind w:right="0" w:hanging="360"/>
      </w:pPr>
      <w:r w:rsidRPr="1D0E713B">
        <w:t>Par collaborateurs/</w:t>
      </w:r>
      <w:proofErr w:type="spellStart"/>
      <w:r w:rsidRPr="1D0E713B">
        <w:t>trices</w:t>
      </w:r>
      <w:proofErr w:type="spellEnd"/>
      <w:r w:rsidRPr="1D0E713B">
        <w:t xml:space="preserve"> scientifiques il faut entendre les fonctions définies comme telles par les statuts universitaires en vigueur. </w:t>
      </w:r>
    </w:p>
    <w:p w14:paraId="3961E8FD" w14:textId="77777777" w:rsidR="0007639F" w:rsidRDefault="004D7863">
      <w:pPr>
        <w:numPr>
          <w:ilvl w:val="0"/>
          <w:numId w:val="3"/>
        </w:numPr>
        <w:ind w:right="0" w:hanging="360"/>
      </w:pPr>
      <w:r>
        <w:t xml:space="preserve">La requête d’indemnité implique : </w:t>
      </w:r>
    </w:p>
    <w:p w14:paraId="7C33FB69" w14:textId="77777777" w:rsidR="0007639F" w:rsidRDefault="004D7863">
      <w:pPr>
        <w:numPr>
          <w:ilvl w:val="1"/>
          <w:numId w:val="3"/>
        </w:numPr>
        <w:ind w:right="0" w:hanging="360"/>
      </w:pPr>
      <w:proofErr w:type="gramStart"/>
      <w:r w:rsidRPr="1D0E713B">
        <w:t>d’être</w:t>
      </w:r>
      <w:proofErr w:type="gramEnd"/>
      <w:r w:rsidRPr="1D0E713B">
        <w:t xml:space="preserve"> </w:t>
      </w:r>
      <w:proofErr w:type="spellStart"/>
      <w:r w:rsidRPr="1D0E713B">
        <w:t>inscrit-e</w:t>
      </w:r>
      <w:proofErr w:type="spellEnd"/>
      <w:r w:rsidRPr="1D0E713B">
        <w:t xml:space="preserve"> comme </w:t>
      </w:r>
      <w:proofErr w:type="spellStart"/>
      <w:r w:rsidRPr="1D0E713B">
        <w:t>doctorant-e</w:t>
      </w:r>
      <w:proofErr w:type="spellEnd"/>
      <w:r w:rsidRPr="1D0E713B">
        <w:t xml:space="preserve"> au sein de l’Université de Fribourg </w:t>
      </w:r>
      <w:r w:rsidRPr="1D0E713B">
        <w:rPr>
          <w:b/>
          <w:bCs/>
        </w:rPr>
        <w:t>et</w:t>
      </w:r>
      <w:r w:rsidRPr="1D0E713B">
        <w:t xml:space="preserve"> d’être </w:t>
      </w:r>
      <w:proofErr w:type="spellStart"/>
      <w:r w:rsidRPr="1D0E713B">
        <w:t>employé-e</w:t>
      </w:r>
      <w:proofErr w:type="spellEnd"/>
      <w:r w:rsidRPr="1D0E713B">
        <w:t xml:space="preserve"> par l’Université de </w:t>
      </w:r>
    </w:p>
    <w:p w14:paraId="7140F29D" w14:textId="77777777" w:rsidR="0007639F" w:rsidRDefault="004D7863">
      <w:pPr>
        <w:ind w:left="720" w:right="0" w:firstLine="0"/>
      </w:pPr>
      <w:r w:rsidRPr="1D0E713B">
        <w:t xml:space="preserve">Fribourg ; </w:t>
      </w:r>
      <w:proofErr w:type="gramStart"/>
      <w:r w:rsidRPr="1D0E713B">
        <w:t>ou</w:t>
      </w:r>
      <w:proofErr w:type="gramEnd"/>
      <w:r w:rsidRPr="1D0E713B">
        <w:t xml:space="preserve"> </w:t>
      </w:r>
    </w:p>
    <w:p w14:paraId="63A85A75" w14:textId="77777777" w:rsidR="0007639F" w:rsidRDefault="004D7863">
      <w:pPr>
        <w:numPr>
          <w:ilvl w:val="1"/>
          <w:numId w:val="3"/>
        </w:numPr>
        <w:ind w:right="0" w:hanging="360"/>
      </w:pPr>
      <w:proofErr w:type="gramStart"/>
      <w:r w:rsidRPr="1D0E713B">
        <w:t>d’être</w:t>
      </w:r>
      <w:proofErr w:type="gramEnd"/>
      <w:r w:rsidRPr="1D0E713B">
        <w:t xml:space="preserve"> </w:t>
      </w:r>
      <w:proofErr w:type="spellStart"/>
      <w:r w:rsidRPr="1D0E713B">
        <w:t>employé-e</w:t>
      </w:r>
      <w:proofErr w:type="spellEnd"/>
      <w:r w:rsidRPr="1D0E713B">
        <w:t xml:space="preserve"> par l’Université de Fribourg en tant que collaborateur/</w:t>
      </w:r>
      <w:proofErr w:type="spellStart"/>
      <w:r w:rsidRPr="1D0E713B">
        <w:t>trice</w:t>
      </w:r>
      <w:proofErr w:type="spellEnd"/>
      <w:r w:rsidRPr="1D0E713B">
        <w:t xml:space="preserve"> scientifique </w:t>
      </w:r>
      <w:r w:rsidRPr="1D0E713B">
        <w:rPr>
          <w:b/>
          <w:bCs/>
        </w:rPr>
        <w:t>et</w:t>
      </w:r>
      <w:r w:rsidRPr="1D0E713B">
        <w:t xml:space="preserve"> s’être acquitté de la cotisation annuelle auprès du CSWM. </w:t>
      </w:r>
    </w:p>
    <w:p w14:paraId="4CA32A39" w14:textId="77777777" w:rsidR="0007639F" w:rsidRDefault="004D7863">
      <w:pPr>
        <w:numPr>
          <w:ilvl w:val="0"/>
          <w:numId w:val="3"/>
        </w:numPr>
        <w:ind w:right="0" w:hanging="360"/>
      </w:pPr>
      <w:r w:rsidRPr="1D0E713B">
        <w:t>Les doctorant-e-s externes ne sont pas considéré-e-s comme collaborateurs/</w:t>
      </w:r>
      <w:proofErr w:type="spellStart"/>
      <w:r w:rsidRPr="1D0E713B">
        <w:t>trices</w:t>
      </w:r>
      <w:proofErr w:type="spellEnd"/>
      <w:r w:rsidRPr="1D0E713B">
        <w:t xml:space="preserve"> scientifiques (cf. Règlement concernant les collaborateurs et collaboratrices scientifiques du 15 février 2001 et Statuts du corps des collaborateurs et collaboratrices scientifiques de l’Université de Fribourg du 10 janvier 2001). </w:t>
      </w:r>
    </w:p>
    <w:p w14:paraId="53BABB27" w14:textId="77777777" w:rsidR="0007639F" w:rsidRDefault="004D7863">
      <w:pPr>
        <w:numPr>
          <w:ilvl w:val="0"/>
          <w:numId w:val="3"/>
        </w:numPr>
        <w:ind w:right="0" w:hanging="360"/>
      </w:pPr>
      <w:r>
        <w:t>Les requérant-e-s n’ont pas de droit à une indemnité issue du fonds de formation continue.</w:t>
      </w:r>
      <w:r>
        <w:rPr>
          <w:b/>
        </w:rPr>
        <w:t xml:space="preserve"> </w:t>
      </w:r>
    </w:p>
    <w:p w14:paraId="3DAAB1F1" w14:textId="77777777" w:rsidR="0007639F" w:rsidRDefault="004D7863">
      <w:pPr>
        <w:spacing w:after="0" w:line="259" w:lineRule="auto"/>
        <w:ind w:left="502" w:right="0" w:firstLine="0"/>
        <w:jc w:val="left"/>
      </w:pPr>
      <w:r>
        <w:rPr>
          <w:b/>
        </w:rPr>
        <w:t xml:space="preserve"> </w:t>
      </w:r>
    </w:p>
    <w:p w14:paraId="58793E2B" w14:textId="77777777" w:rsidR="0007639F" w:rsidRDefault="004D7863">
      <w:pPr>
        <w:pStyle w:val="Heading1"/>
        <w:ind w:left="-5" w:right="0"/>
      </w:pPr>
      <w:r>
        <w:t xml:space="preserve">Article 4. Principes financiers </w:t>
      </w:r>
    </w:p>
    <w:p w14:paraId="3E52ECBC" w14:textId="77777777" w:rsidR="0007639F" w:rsidRDefault="004D7863">
      <w:pPr>
        <w:numPr>
          <w:ilvl w:val="0"/>
          <w:numId w:val="4"/>
        </w:numPr>
        <w:ind w:right="0" w:hanging="360"/>
      </w:pPr>
      <w:r>
        <w:t xml:space="preserve">Seuls les </w:t>
      </w:r>
      <w:r>
        <w:rPr>
          <w:b/>
        </w:rPr>
        <w:t>frais effectifs</w:t>
      </w:r>
      <w:r>
        <w:t xml:space="preserve"> d’inscription, de voyage et d’hébergement mentionnés dans l’annexe I et encourus en lien avec une activité soutenue au sens de l’article 2 du présent règlement sont en principe indemnisables, pour autant qu’ils soient adéquatement établis. </w:t>
      </w:r>
    </w:p>
    <w:p w14:paraId="0E50BE78" w14:textId="77777777" w:rsidR="0007639F" w:rsidRDefault="004D7863">
      <w:pPr>
        <w:numPr>
          <w:ilvl w:val="0"/>
          <w:numId w:val="4"/>
        </w:numPr>
        <w:ind w:right="0" w:hanging="360"/>
      </w:pPr>
      <w:r>
        <w:t>Les frais en monnaie étrangère doivent être convertis au</w:t>
      </w:r>
      <w:r>
        <w:rPr>
          <w:b/>
        </w:rPr>
        <w:t xml:space="preserve"> taux de change</w:t>
      </w:r>
      <w:r>
        <w:t xml:space="preserve"> du jour du paiement (cf. </w:t>
      </w:r>
    </w:p>
    <w:p w14:paraId="4AA7B0B9" w14:textId="77777777" w:rsidR="0007639F" w:rsidRDefault="004D7863">
      <w:pPr>
        <w:ind w:left="502" w:right="0" w:firstLine="0"/>
      </w:pPr>
      <w:r>
        <w:rPr>
          <w:color w:val="0000FF"/>
          <w:u w:val="single" w:color="0000FF"/>
        </w:rPr>
        <w:t>http://www.finanzen.net</w:t>
      </w:r>
      <w:r>
        <w:rPr>
          <w:u w:val="single" w:color="0000FF"/>
        </w:rPr>
        <w:t>)</w:t>
      </w:r>
      <w:r>
        <w:t xml:space="preserve">. Si le montant correspondant en francs suisses est attesté par un extrait de compte ou une facture de carte de crédit, c’est ce montant-ci qu’il convient de faire valoir. </w:t>
      </w:r>
    </w:p>
    <w:p w14:paraId="1E338CB7" w14:textId="77777777" w:rsidR="0007639F" w:rsidRDefault="004D7863">
      <w:pPr>
        <w:numPr>
          <w:ilvl w:val="0"/>
          <w:numId w:val="4"/>
        </w:numPr>
        <w:spacing w:after="3" w:line="252" w:lineRule="auto"/>
        <w:ind w:right="0" w:hanging="360"/>
      </w:pPr>
      <w:r>
        <w:t xml:space="preserve">Le requérant signale tout </w:t>
      </w:r>
      <w:r>
        <w:rPr>
          <w:b/>
        </w:rPr>
        <w:t>cofinancement par d’autres organes ou institutions</w:t>
      </w:r>
      <w:r>
        <w:t xml:space="preserve"> de même que toute autre </w:t>
      </w:r>
      <w:r>
        <w:rPr>
          <w:b/>
        </w:rPr>
        <w:t>demande de remboursement en cours</w:t>
      </w:r>
      <w:r>
        <w:t xml:space="preserve"> relatifs aux</w:t>
      </w:r>
      <w:r>
        <w:rPr>
          <w:b/>
        </w:rPr>
        <w:t xml:space="preserve"> frais effectifs qu’il allègue</w:t>
      </w:r>
      <w:r>
        <w:t xml:space="preserve">. </w:t>
      </w:r>
    </w:p>
    <w:p w14:paraId="3AAA0459" w14:textId="77777777" w:rsidR="0007639F" w:rsidRDefault="004D7863">
      <w:pPr>
        <w:numPr>
          <w:ilvl w:val="0"/>
          <w:numId w:val="4"/>
        </w:numPr>
        <w:ind w:right="0" w:hanging="360"/>
      </w:pPr>
      <w:r>
        <w:t xml:space="preserve">Les demandes portant sur un montant total inférieur à </w:t>
      </w:r>
      <w:r>
        <w:rPr>
          <w:b/>
        </w:rPr>
        <w:t xml:space="preserve">CHF 100.- </w:t>
      </w:r>
      <w:r>
        <w:t>ne seront pas traitées.</w:t>
      </w:r>
      <w:r>
        <w:rPr>
          <w:b/>
        </w:rPr>
        <w:t xml:space="preserve"> </w:t>
      </w:r>
    </w:p>
    <w:p w14:paraId="2775A931" w14:textId="62EE133F" w:rsidR="0007639F" w:rsidRDefault="004D7863">
      <w:pPr>
        <w:numPr>
          <w:ilvl w:val="0"/>
          <w:numId w:val="4"/>
        </w:numPr>
        <w:ind w:right="0" w:hanging="360"/>
      </w:pPr>
      <w:r>
        <w:t xml:space="preserve">La somme des indemnités versées ne peut dépasser </w:t>
      </w:r>
      <w:r w:rsidRPr="00394295">
        <w:rPr>
          <w:b/>
          <w:color w:val="000000" w:themeColor="text1"/>
        </w:rPr>
        <w:t xml:space="preserve">CHF </w:t>
      </w:r>
      <w:r w:rsidR="0032777B" w:rsidRPr="00394295">
        <w:rPr>
          <w:b/>
          <w:color w:val="000000" w:themeColor="text1"/>
        </w:rPr>
        <w:t>1’100</w:t>
      </w:r>
      <w:r w:rsidRPr="00394295">
        <w:rPr>
          <w:b/>
          <w:color w:val="000000" w:themeColor="text1"/>
        </w:rPr>
        <w:t xml:space="preserve">.- </w:t>
      </w:r>
      <w:r w:rsidRPr="00394295">
        <w:rPr>
          <w:color w:val="000000" w:themeColor="text1"/>
        </w:rPr>
        <w:t xml:space="preserve">par </w:t>
      </w:r>
      <w:r>
        <w:t>année.</w:t>
      </w:r>
      <w:r>
        <w:rPr>
          <w:b/>
        </w:rPr>
        <w:t xml:space="preserve"> </w:t>
      </w:r>
    </w:p>
    <w:p w14:paraId="67E894FD" w14:textId="77777777" w:rsidR="0007639F" w:rsidRDefault="004D7863">
      <w:pPr>
        <w:numPr>
          <w:ilvl w:val="0"/>
          <w:numId w:val="4"/>
        </w:numPr>
        <w:ind w:right="0" w:hanging="360"/>
      </w:pPr>
      <w:r w:rsidRPr="1D0E713B">
        <w:t xml:space="preserve">La Commission de formation continue se réserve le droit de </w:t>
      </w:r>
      <w:r w:rsidRPr="1D0E713B">
        <w:rPr>
          <w:b/>
          <w:bCs/>
        </w:rPr>
        <w:t>réduire proportionnellement</w:t>
      </w:r>
      <w:r w:rsidRPr="1D0E713B">
        <w:t xml:space="preserve"> les indemnisations de </w:t>
      </w:r>
      <w:proofErr w:type="spellStart"/>
      <w:r w:rsidRPr="1D0E713B">
        <w:t>toute-s</w:t>
      </w:r>
      <w:proofErr w:type="spellEnd"/>
      <w:r w:rsidRPr="1D0E713B">
        <w:t xml:space="preserve"> les requérant-e-s dans l’hypothèse où le budget annuel du fonds de formation continue du CSWM serait dépassé. </w:t>
      </w:r>
    </w:p>
    <w:p w14:paraId="60A8A618" w14:textId="77777777" w:rsidR="0007639F" w:rsidRDefault="004D7863">
      <w:pPr>
        <w:spacing w:after="0" w:line="259" w:lineRule="auto"/>
        <w:ind w:left="502" w:right="0" w:firstLine="0"/>
        <w:jc w:val="left"/>
      </w:pPr>
      <w:r>
        <w:t xml:space="preserve"> </w:t>
      </w:r>
    </w:p>
    <w:p w14:paraId="40F8CE0C" w14:textId="77777777" w:rsidR="0007639F" w:rsidRDefault="004D7863">
      <w:pPr>
        <w:pStyle w:val="Heading1"/>
        <w:ind w:left="-5" w:right="0"/>
      </w:pPr>
      <w:r>
        <w:t xml:space="preserve">Article 5. Requête d’indemnisation </w:t>
      </w:r>
    </w:p>
    <w:p w14:paraId="24056858" w14:textId="77777777" w:rsidR="0007639F" w:rsidRDefault="004D7863">
      <w:pPr>
        <w:numPr>
          <w:ilvl w:val="0"/>
          <w:numId w:val="5"/>
        </w:numPr>
        <w:ind w:right="0" w:hanging="360"/>
      </w:pPr>
      <w:r>
        <w:t xml:space="preserve">Chaque activité de formation continue doit faire l’objet d’une </w:t>
      </w:r>
      <w:r>
        <w:rPr>
          <w:b/>
        </w:rPr>
        <w:t xml:space="preserve">requête séparée.  </w:t>
      </w:r>
    </w:p>
    <w:p w14:paraId="7E80C478" w14:textId="78228292" w:rsidR="0007639F" w:rsidRDefault="00767A63">
      <w:pPr>
        <w:numPr>
          <w:ilvl w:val="0"/>
          <w:numId w:val="5"/>
        </w:numPr>
        <w:ind w:right="0" w:hanging="360"/>
      </w:pPr>
      <w:r>
        <w:t xml:space="preserve">La </w:t>
      </w:r>
      <w:r w:rsidR="004D7863">
        <w:t xml:space="preserve">requête </w:t>
      </w:r>
      <w:r>
        <w:t xml:space="preserve">est envoyée par </w:t>
      </w:r>
      <w:r w:rsidR="004D7863">
        <w:t xml:space="preserve">courrier électronique. </w:t>
      </w:r>
    </w:p>
    <w:p w14:paraId="2B5A7ADD" w14:textId="26C11636" w:rsidR="0007639F" w:rsidRDefault="004D7863" w:rsidP="007E1676">
      <w:pPr>
        <w:numPr>
          <w:ilvl w:val="0"/>
          <w:numId w:val="5"/>
        </w:numPr>
        <w:ind w:right="0" w:hanging="360"/>
      </w:pPr>
      <w:r>
        <w:t xml:space="preserve">La requête est adressée </w:t>
      </w:r>
      <w:r w:rsidRPr="1D0E713B">
        <w:rPr>
          <w:b/>
          <w:bCs/>
        </w:rPr>
        <w:t xml:space="preserve">au </w:t>
      </w:r>
      <w:r w:rsidR="00A825CF" w:rsidRPr="1D0E713B">
        <w:rPr>
          <w:b/>
          <w:bCs/>
        </w:rPr>
        <w:t>S</w:t>
      </w:r>
      <w:r w:rsidR="00052160" w:rsidRPr="1D0E713B">
        <w:rPr>
          <w:b/>
          <w:bCs/>
        </w:rPr>
        <w:t>ecrétariat du CSWM</w:t>
      </w:r>
      <w:r w:rsidR="00A34269">
        <w:t xml:space="preserve"> </w:t>
      </w:r>
      <w:r w:rsidR="6CB82C75" w:rsidRPr="0055299A">
        <w:t>(</w:t>
      </w:r>
      <w:hyperlink r:id="rId12" w:history="1">
        <w:r w:rsidR="004003A7" w:rsidRPr="007E1676">
          <w:rPr>
            <w:rStyle w:val="Hyperlink"/>
          </w:rPr>
          <w:t>cswm@unifr.ch</w:t>
        </w:r>
      </w:hyperlink>
      <w:r w:rsidR="44099BF2">
        <w:t>)</w:t>
      </w:r>
      <w:r w:rsidR="00A34269" w:rsidRPr="007E1676">
        <w:t>.</w:t>
      </w:r>
      <w:r>
        <w:t xml:space="preserve"> </w:t>
      </w:r>
    </w:p>
    <w:p w14:paraId="4928488D" w14:textId="77777777" w:rsidR="0007639F" w:rsidRDefault="004D7863">
      <w:pPr>
        <w:numPr>
          <w:ilvl w:val="0"/>
          <w:numId w:val="5"/>
        </w:numPr>
        <w:ind w:right="0" w:hanging="360"/>
      </w:pPr>
      <w:r>
        <w:t xml:space="preserve">Font partie de </w:t>
      </w:r>
      <w:r w:rsidRPr="00767A63">
        <w:rPr>
          <w:color w:val="000000" w:themeColor="text1"/>
        </w:rPr>
        <w:t>l’</w:t>
      </w:r>
      <w:r w:rsidRPr="00767A63">
        <w:rPr>
          <w:b/>
          <w:color w:val="000000" w:themeColor="text1"/>
        </w:rPr>
        <w:t xml:space="preserve">envoi </w:t>
      </w:r>
      <w:r w:rsidR="0032777B" w:rsidRPr="00767A63">
        <w:rPr>
          <w:b/>
          <w:color w:val="000000" w:themeColor="text1"/>
        </w:rPr>
        <w:t>par courrier électronique</w:t>
      </w:r>
      <w:r w:rsidRPr="00767A63">
        <w:rPr>
          <w:b/>
          <w:color w:val="000000" w:themeColor="text1"/>
        </w:rPr>
        <w:t xml:space="preserve"> </w:t>
      </w:r>
      <w:r>
        <w:t xml:space="preserve">: </w:t>
      </w:r>
    </w:p>
    <w:p w14:paraId="29742204" w14:textId="77777777" w:rsidR="0007639F" w:rsidRDefault="004D7863">
      <w:pPr>
        <w:numPr>
          <w:ilvl w:val="1"/>
          <w:numId w:val="5"/>
        </w:numPr>
        <w:ind w:right="0" w:hanging="360"/>
      </w:pPr>
      <w:r>
        <w:t xml:space="preserve">La déclaration sur l’honneur disponible sur le site internet du CSWM (dûment remplie et signée). </w:t>
      </w:r>
    </w:p>
    <w:p w14:paraId="6749B04B" w14:textId="77777777" w:rsidR="0007639F" w:rsidRDefault="004D7863">
      <w:pPr>
        <w:numPr>
          <w:ilvl w:val="1"/>
          <w:numId w:val="5"/>
        </w:numPr>
        <w:ind w:right="0" w:hanging="360"/>
      </w:pPr>
      <w:r w:rsidRPr="1D0E713B">
        <w:lastRenderedPageBreak/>
        <w:t xml:space="preserve">Une copie de toutes les </w:t>
      </w:r>
      <w:r w:rsidRPr="1D0E713B">
        <w:rPr>
          <w:b/>
          <w:bCs/>
        </w:rPr>
        <w:t xml:space="preserve">pièces </w:t>
      </w:r>
      <w:r w:rsidRPr="1D0E713B">
        <w:t xml:space="preserve">établissant votre qualité de </w:t>
      </w:r>
      <w:proofErr w:type="spellStart"/>
      <w:r w:rsidRPr="1D0E713B">
        <w:t>requérant-e</w:t>
      </w:r>
      <w:proofErr w:type="spellEnd"/>
      <w:r w:rsidRPr="1D0E713B">
        <w:t xml:space="preserve"> (art. 3 al. 3) ainsi que les justificatifs des frais effectifs dont l’indemnisation est requise (cf. annexe I). </w:t>
      </w:r>
      <w:r w:rsidRPr="1D0E713B">
        <w:rPr>
          <w:b/>
          <w:bCs/>
        </w:rPr>
        <w:t>Attention</w:t>
      </w:r>
      <w:r w:rsidRPr="1D0E713B">
        <w:t xml:space="preserve">, les pièces justificatives doivent être classées selon les catégories de frais suivantes : frais d’inscription, de voyage, d’hébergement ; </w:t>
      </w:r>
    </w:p>
    <w:p w14:paraId="10FD19F8" w14:textId="77777777" w:rsidR="0007639F" w:rsidRDefault="004D7863">
      <w:pPr>
        <w:numPr>
          <w:ilvl w:val="1"/>
          <w:numId w:val="5"/>
        </w:numPr>
        <w:ind w:right="0" w:hanging="360"/>
      </w:pPr>
      <w:r>
        <w:t xml:space="preserve">Une </w:t>
      </w:r>
      <w:r>
        <w:rPr>
          <w:b/>
        </w:rPr>
        <w:t>attestation de participation</w:t>
      </w:r>
      <w:r>
        <w:t xml:space="preserve"> ou, si celle-ci n’a pas été délivrée, un flyer de la manifestation. </w:t>
      </w:r>
    </w:p>
    <w:p w14:paraId="58DA0813" w14:textId="77777777" w:rsidR="0007639F" w:rsidRDefault="004D7863">
      <w:pPr>
        <w:numPr>
          <w:ilvl w:val="0"/>
          <w:numId w:val="5"/>
        </w:numPr>
        <w:ind w:right="0" w:hanging="360"/>
      </w:pPr>
      <w:r>
        <w:t>L’</w:t>
      </w:r>
      <w:r>
        <w:rPr>
          <w:b/>
        </w:rPr>
        <w:t>envoi électronique</w:t>
      </w:r>
      <w:r>
        <w:t xml:space="preserve"> </w:t>
      </w:r>
      <w:r w:rsidRPr="001F4256">
        <w:rPr>
          <w:color w:val="000000" w:themeColor="text1"/>
        </w:rPr>
        <w:t>comprend</w:t>
      </w:r>
      <w:r w:rsidR="0032777B" w:rsidRPr="001F4256">
        <w:rPr>
          <w:color w:val="000000" w:themeColor="text1"/>
        </w:rPr>
        <w:t xml:space="preserve"> aussi</w:t>
      </w:r>
      <w:r w:rsidRPr="001F4256">
        <w:rPr>
          <w:color w:val="000000" w:themeColor="text1"/>
        </w:rPr>
        <w:t xml:space="preserve"> </w:t>
      </w:r>
      <w:r w:rsidRPr="001F4256">
        <w:rPr>
          <w:b/>
          <w:color w:val="000000" w:themeColor="text1"/>
        </w:rPr>
        <w:t xml:space="preserve">la feuille </w:t>
      </w:r>
      <w:r>
        <w:rPr>
          <w:b/>
        </w:rPr>
        <w:t>Excel</w:t>
      </w:r>
      <w:r>
        <w:t xml:space="preserve"> disponible sur le site internet du CSWM dûment remplie. </w:t>
      </w:r>
    </w:p>
    <w:p w14:paraId="76E88220" w14:textId="77777777" w:rsidR="0007639F" w:rsidRDefault="004D7863">
      <w:pPr>
        <w:pStyle w:val="Heading1"/>
        <w:ind w:left="-5" w:right="0"/>
      </w:pPr>
      <w:r>
        <w:t xml:space="preserve">Article 6. Délais </w:t>
      </w:r>
    </w:p>
    <w:p w14:paraId="50D4F2A5" w14:textId="25918E87" w:rsidR="0007639F" w:rsidRDefault="004D7863">
      <w:pPr>
        <w:numPr>
          <w:ilvl w:val="0"/>
          <w:numId w:val="6"/>
        </w:numPr>
        <w:ind w:right="0" w:hanging="360"/>
      </w:pPr>
      <w:r>
        <w:t xml:space="preserve">La requête doit être transmise </w:t>
      </w:r>
      <w:r w:rsidRPr="118A2118">
        <w:rPr>
          <w:b/>
          <w:bCs/>
        </w:rPr>
        <w:t>au plus tard 2 mois après la fin</w:t>
      </w:r>
      <w:r>
        <w:t xml:space="preserve"> de l’activité soutenue. L</w:t>
      </w:r>
      <w:r w:rsidR="00A825CF">
        <w:t>’</w:t>
      </w:r>
      <w:r>
        <w:t>envoi</w:t>
      </w:r>
      <w:r w:rsidR="00A825CF">
        <w:t xml:space="preserve"> </w:t>
      </w:r>
      <w:r>
        <w:t xml:space="preserve">électronique doit intervenir avant l’échéance de ce délai. La date du courrier électronique fait foi. </w:t>
      </w:r>
    </w:p>
    <w:p w14:paraId="146D88DF" w14:textId="77777777" w:rsidR="0007639F" w:rsidRDefault="004D7863">
      <w:pPr>
        <w:numPr>
          <w:ilvl w:val="0"/>
          <w:numId w:val="6"/>
        </w:numPr>
        <w:ind w:right="0" w:hanging="360"/>
      </w:pPr>
      <w:r>
        <w:t xml:space="preserve">Le non-respect du délai entraîne l’irrecevabilité de la requête. </w:t>
      </w:r>
    </w:p>
    <w:p w14:paraId="4928A030" w14:textId="45CDD756" w:rsidR="0007639F" w:rsidRDefault="004D7863">
      <w:pPr>
        <w:numPr>
          <w:ilvl w:val="0"/>
          <w:numId w:val="6"/>
        </w:numPr>
        <w:ind w:right="0" w:hanging="360"/>
      </w:pPr>
      <w:r>
        <w:t xml:space="preserve">Une requête incomplète ou ne respectant pas les formes prescrites peut être corrigée dans un </w:t>
      </w:r>
      <w:r w:rsidRPr="118A2118">
        <w:rPr>
          <w:b/>
          <w:bCs/>
        </w:rPr>
        <w:t xml:space="preserve">délai d’un mois </w:t>
      </w:r>
      <w:r>
        <w:t>à compter de l’invitation à corriger l</w:t>
      </w:r>
      <w:r w:rsidR="007669BA">
        <w:t>a</w:t>
      </w:r>
      <w:r>
        <w:t xml:space="preserve"> requête transmise par </w:t>
      </w:r>
      <w:r w:rsidR="00001D35">
        <w:t xml:space="preserve">le </w:t>
      </w:r>
      <w:r w:rsidR="00A825CF">
        <w:t>S</w:t>
      </w:r>
      <w:r w:rsidR="00001D35">
        <w:t>ecrétariat du CSWM</w:t>
      </w:r>
      <w:r>
        <w:t xml:space="preserve">. Le non-respect de ce délai entraîne </w:t>
      </w:r>
      <w:r w:rsidR="5AA5023A">
        <w:t xml:space="preserve">automatiquement </w:t>
      </w:r>
      <w:r>
        <w:t xml:space="preserve">le rejet définitif de la requête. </w:t>
      </w:r>
    </w:p>
    <w:p w14:paraId="36962EB9" w14:textId="77777777" w:rsidR="0007639F" w:rsidRDefault="004D7863">
      <w:pPr>
        <w:numPr>
          <w:ilvl w:val="0"/>
          <w:numId w:val="6"/>
        </w:numPr>
        <w:ind w:right="0" w:hanging="360"/>
      </w:pPr>
      <w:r>
        <w:t xml:space="preserve">Lorsqu’un délai est exprimé en mois, il expire le jour du dernier mois qui porte le même quantième que le jour qui fait courir le délai. À défaut d’un quantième identique, le délai expire le dernier jour du mois. </w:t>
      </w:r>
    </w:p>
    <w:p w14:paraId="3A8B4E84" w14:textId="77777777" w:rsidR="0007639F" w:rsidRDefault="004D7863">
      <w:pPr>
        <w:spacing w:after="0" w:line="259" w:lineRule="auto"/>
        <w:ind w:left="502" w:right="0" w:firstLine="0"/>
        <w:jc w:val="left"/>
      </w:pPr>
      <w:r>
        <w:t xml:space="preserve"> </w:t>
      </w:r>
    </w:p>
    <w:p w14:paraId="0D4FF998" w14:textId="77777777" w:rsidR="0007639F" w:rsidRDefault="004D7863">
      <w:pPr>
        <w:pStyle w:val="Heading1"/>
        <w:spacing w:after="42"/>
        <w:ind w:left="-5" w:right="0"/>
      </w:pPr>
      <w:r>
        <w:t xml:space="preserve">Article 7. Procédure </w:t>
      </w:r>
    </w:p>
    <w:p w14:paraId="5026F550" w14:textId="77F8EF07" w:rsidR="0007639F" w:rsidRDefault="00126B1F">
      <w:pPr>
        <w:numPr>
          <w:ilvl w:val="0"/>
          <w:numId w:val="7"/>
        </w:numPr>
        <w:ind w:right="0" w:hanging="360"/>
      </w:pPr>
      <w:r>
        <w:t xml:space="preserve">Le </w:t>
      </w:r>
      <w:r w:rsidR="00A825CF">
        <w:t>S</w:t>
      </w:r>
      <w:r>
        <w:t>ecrétariat du CSWM</w:t>
      </w:r>
      <w:r w:rsidR="004D7863">
        <w:t xml:space="preserve"> accuse réception de la requête et procède à une analyse sommaire de celle-ci. </w:t>
      </w:r>
    </w:p>
    <w:p w14:paraId="019DE7A4" w14:textId="77777777" w:rsidR="0007639F" w:rsidRDefault="004D7863">
      <w:pPr>
        <w:numPr>
          <w:ilvl w:val="0"/>
          <w:numId w:val="7"/>
        </w:numPr>
        <w:ind w:right="0" w:hanging="360"/>
      </w:pPr>
      <w:r>
        <w:t xml:space="preserve">Si la requête est incomplète ou ne respecte pas les formes prescrites, il/elle demande au requérant ou à la requérante de la corriger dans le délai prévu à l’art. 6 al. 3 du présent règlement. </w:t>
      </w:r>
    </w:p>
    <w:p w14:paraId="6782A8C8" w14:textId="5B861042" w:rsidR="5681DC20" w:rsidRDefault="5681DC20" w:rsidP="118A2118">
      <w:pPr>
        <w:numPr>
          <w:ilvl w:val="0"/>
          <w:numId w:val="7"/>
        </w:numPr>
        <w:ind w:right="0" w:hanging="360"/>
      </w:pPr>
      <w:r w:rsidRPr="1D0E713B">
        <w:t xml:space="preserve">Lorsqu’à l’issu </w:t>
      </w:r>
      <w:r w:rsidR="0FFA3C3D" w:rsidRPr="1D0E713B">
        <w:t xml:space="preserve">de la correction de la requête en vertu du point précédent le Secrétariat juge que la requête n’est pas complète ou conforme, celui-ci la transmet au Comité du CSWM </w:t>
      </w:r>
      <w:r w:rsidR="44D578C4" w:rsidRPr="1D0E713B">
        <w:t>qui statue sur l</w:t>
      </w:r>
      <w:r w:rsidR="470A9D52" w:rsidRPr="1D0E713B">
        <w:t>’admission de la</w:t>
      </w:r>
      <w:r w:rsidR="44D578C4" w:rsidRPr="1D0E713B">
        <w:t xml:space="preserve"> requête après que le/la </w:t>
      </w:r>
      <w:proofErr w:type="spellStart"/>
      <w:r w:rsidR="44D578C4" w:rsidRPr="1D0E713B">
        <w:t>requérant-e</w:t>
      </w:r>
      <w:proofErr w:type="spellEnd"/>
      <w:r w:rsidR="44D578C4" w:rsidRPr="1D0E713B">
        <w:t xml:space="preserve"> a eu la possibilité de soumettre une prise de position</w:t>
      </w:r>
      <w:r w:rsidR="232F8171" w:rsidRPr="1D0E713B">
        <w:t>. Celle-ci</w:t>
      </w:r>
      <w:r w:rsidR="44D578C4" w:rsidRPr="1D0E713B">
        <w:t xml:space="preserve"> doit être prise en compte par le Comité dans sa décision.</w:t>
      </w:r>
    </w:p>
    <w:p w14:paraId="21CC2F6F" w14:textId="504E9B6E" w:rsidR="0007639F" w:rsidRDefault="004D7863">
      <w:pPr>
        <w:numPr>
          <w:ilvl w:val="0"/>
          <w:numId w:val="7"/>
        </w:numPr>
        <w:ind w:right="0" w:hanging="360"/>
      </w:pPr>
      <w:r>
        <w:t xml:space="preserve">Les requêtes sont traitées par </w:t>
      </w:r>
      <w:r w:rsidR="00672596">
        <w:t xml:space="preserve">le </w:t>
      </w:r>
      <w:r w:rsidR="00A825CF">
        <w:t>S</w:t>
      </w:r>
      <w:r w:rsidR="00672596">
        <w:t>ecrétariat</w:t>
      </w:r>
      <w:r>
        <w:t xml:space="preserve"> à la </w:t>
      </w:r>
      <w:r w:rsidRPr="118A2118">
        <w:rPr>
          <w:b/>
          <w:bCs/>
        </w:rPr>
        <w:t>mi-novembre</w:t>
      </w:r>
      <w:r>
        <w:t xml:space="preserve">. </w:t>
      </w:r>
    </w:p>
    <w:p w14:paraId="31447949" w14:textId="77777777" w:rsidR="0007639F" w:rsidRDefault="004D7863">
      <w:pPr>
        <w:numPr>
          <w:ilvl w:val="0"/>
          <w:numId w:val="7"/>
        </w:numPr>
        <w:ind w:right="0" w:hanging="360"/>
      </w:pPr>
      <w:r>
        <w:t xml:space="preserve">Le versement des indemnités intervient à la </w:t>
      </w:r>
      <w:r>
        <w:rPr>
          <w:b/>
        </w:rPr>
        <w:t>fin de l’année</w:t>
      </w:r>
      <w:r>
        <w:t xml:space="preserve"> ou au </w:t>
      </w:r>
      <w:r>
        <w:rPr>
          <w:b/>
        </w:rPr>
        <w:t>début de l’année suivante</w:t>
      </w:r>
      <w:r>
        <w:t xml:space="preserve">. </w:t>
      </w:r>
    </w:p>
    <w:p w14:paraId="2AEDC132" w14:textId="0B3BF6C7" w:rsidR="0007639F" w:rsidRDefault="004D7863">
      <w:pPr>
        <w:numPr>
          <w:ilvl w:val="0"/>
          <w:numId w:val="7"/>
        </w:numPr>
        <w:ind w:right="0" w:hanging="360"/>
      </w:pPr>
      <w:r>
        <w:t xml:space="preserve">Les requêtes qui parviennent </w:t>
      </w:r>
      <w:r w:rsidR="00A87039">
        <w:t xml:space="preserve">au </w:t>
      </w:r>
      <w:r w:rsidR="00A825CF">
        <w:t>S</w:t>
      </w:r>
      <w:r w:rsidR="00A87039">
        <w:t>ecrétariat</w:t>
      </w:r>
      <w:r>
        <w:t xml:space="preserve"> </w:t>
      </w:r>
      <w:r>
        <w:rPr>
          <w:b/>
        </w:rPr>
        <w:t>après le 15 novembre</w:t>
      </w:r>
      <w:r>
        <w:t xml:space="preserve"> sont traitées l’année suivante. </w:t>
      </w:r>
    </w:p>
    <w:p w14:paraId="7E196AEC" w14:textId="77777777" w:rsidR="0007639F" w:rsidRDefault="004D7863">
      <w:pPr>
        <w:numPr>
          <w:ilvl w:val="0"/>
          <w:numId w:val="7"/>
        </w:numPr>
        <w:spacing w:after="181"/>
        <w:ind w:right="0" w:hanging="360"/>
      </w:pPr>
      <w:r>
        <w:t xml:space="preserve">Les pièces transmises ne sont pas retournées au requérant ou à la requérante, même en cas de rejet de la requête. </w:t>
      </w:r>
    </w:p>
    <w:p w14:paraId="3027DA6E" w14:textId="77777777" w:rsidR="0007639F" w:rsidRDefault="004D7863">
      <w:pPr>
        <w:pStyle w:val="Heading1"/>
        <w:ind w:left="-5" w:right="0"/>
      </w:pPr>
      <w:r>
        <w:t xml:space="preserve">Article 8. Cofinancement et escroquerie </w:t>
      </w:r>
    </w:p>
    <w:p w14:paraId="03F38568" w14:textId="46596EBD" w:rsidR="0007639F" w:rsidRDefault="001465EF">
      <w:pPr>
        <w:numPr>
          <w:ilvl w:val="0"/>
          <w:numId w:val="8"/>
        </w:numPr>
        <w:ind w:right="0" w:hanging="360"/>
      </w:pPr>
      <w:r>
        <w:t xml:space="preserve">Le </w:t>
      </w:r>
      <w:r w:rsidR="00A825CF">
        <w:t>S</w:t>
      </w:r>
      <w:r>
        <w:t>ecrétariat</w:t>
      </w:r>
      <w:r w:rsidR="004D7863">
        <w:t xml:space="preserve"> se réserve le droit de solliciter des informations auprès d’autres instances. </w:t>
      </w:r>
    </w:p>
    <w:p w14:paraId="30519949" w14:textId="77777777" w:rsidR="0007639F" w:rsidRDefault="004D7863">
      <w:pPr>
        <w:numPr>
          <w:ilvl w:val="0"/>
          <w:numId w:val="8"/>
        </w:numPr>
        <w:ind w:right="0" w:hanging="360"/>
      </w:pPr>
      <w:r>
        <w:t xml:space="preserve">La non-mention d’un cofinancement par d’autres organes ou institutions de même que la non-mention d’une demande de remboursement en cours relative aux frais effectifs allégués entraîne le rejet de la requête. </w:t>
      </w:r>
    </w:p>
    <w:p w14:paraId="45724954" w14:textId="77777777" w:rsidR="0007639F" w:rsidRDefault="004D7863">
      <w:pPr>
        <w:numPr>
          <w:ilvl w:val="0"/>
          <w:numId w:val="8"/>
        </w:numPr>
        <w:ind w:right="0" w:hanging="360"/>
      </w:pPr>
      <w:r>
        <w:t xml:space="preserve">Une requête portant sur une activité fictive ou à laquelle le requérant n’a pas participé, de même que la production de fausses pièces justificatives ou la fourniture de renseignements inexacts dans la requête entraîne le rejet de la requête.  </w:t>
      </w:r>
    </w:p>
    <w:p w14:paraId="5A4C97A5" w14:textId="31F7C539" w:rsidR="007B5E94" w:rsidRDefault="00686D1D">
      <w:pPr>
        <w:numPr>
          <w:ilvl w:val="0"/>
          <w:numId w:val="8"/>
        </w:numPr>
        <w:ind w:right="0" w:hanging="360"/>
      </w:pPr>
      <w:r w:rsidRPr="1D0E713B">
        <w:t xml:space="preserve">Lorsqu’il constate une infraction aux </w:t>
      </w:r>
      <w:r w:rsidR="00083920">
        <w:t xml:space="preserve">dispositions des al. 2 </w:t>
      </w:r>
      <w:r w:rsidR="003B5E5F">
        <w:t>ou</w:t>
      </w:r>
      <w:r w:rsidR="00083920">
        <w:t xml:space="preserve"> 3 du </w:t>
      </w:r>
      <w:r w:rsidRPr="1D0E713B">
        <w:t>présent</w:t>
      </w:r>
      <w:r w:rsidR="00083920">
        <w:t xml:space="preserve"> article</w:t>
      </w:r>
      <w:r w:rsidRPr="1D0E713B">
        <w:t xml:space="preserve">, le Secrétariat transmet le dossier au Comité du CSWM. </w:t>
      </w:r>
      <w:r w:rsidR="00BC688A">
        <w:t>L</w:t>
      </w:r>
      <w:r w:rsidR="00BC688A" w:rsidRPr="1D0E713B">
        <w:t xml:space="preserve">e/la </w:t>
      </w:r>
      <w:proofErr w:type="spellStart"/>
      <w:r w:rsidR="00BC688A" w:rsidRPr="1D0E713B">
        <w:t>requérant-e</w:t>
      </w:r>
      <w:proofErr w:type="spellEnd"/>
      <w:r w:rsidR="00BC688A" w:rsidRPr="1D0E713B">
        <w:t xml:space="preserve"> a la possibilité de soumettre une prise de position.</w:t>
      </w:r>
      <w:r w:rsidR="00BC688A">
        <w:t xml:space="preserve"> </w:t>
      </w:r>
      <w:r w:rsidR="00D14A50">
        <w:t xml:space="preserve">En prenant en compte </w:t>
      </w:r>
      <w:r w:rsidR="00913B65">
        <w:t>la</w:t>
      </w:r>
      <w:r w:rsidR="00D14A50">
        <w:t xml:space="preserve"> prise de position, l</w:t>
      </w:r>
      <w:r w:rsidR="00BC688A">
        <w:t xml:space="preserve">e Comité du CSWM </w:t>
      </w:r>
      <w:r w:rsidRPr="1D0E713B">
        <w:t>peut décider d</w:t>
      </w:r>
      <w:r w:rsidR="009F73E5">
        <w:t xml:space="preserve">’exclure pour une durée maximale d’un an le/la </w:t>
      </w:r>
      <w:proofErr w:type="spellStart"/>
      <w:r w:rsidR="009F73E5">
        <w:t>requérant-</w:t>
      </w:r>
      <w:r w:rsidRPr="1D0E713B">
        <w:t>e</w:t>
      </w:r>
      <w:proofErr w:type="spellEnd"/>
      <w:r w:rsidRPr="1D0E713B">
        <w:t xml:space="preserve"> de toute indemnité versée par le fonds de formation</w:t>
      </w:r>
      <w:r w:rsidR="00A15A99">
        <w:t xml:space="preserve"> continue</w:t>
      </w:r>
      <w:r w:rsidRPr="1D0E713B">
        <w:t>.</w:t>
      </w:r>
    </w:p>
    <w:p w14:paraId="19CEBC42" w14:textId="4D9EA5D4" w:rsidR="0007639F" w:rsidRDefault="004D7863">
      <w:pPr>
        <w:numPr>
          <w:ilvl w:val="0"/>
          <w:numId w:val="8"/>
        </w:numPr>
        <w:ind w:right="0" w:hanging="360"/>
      </w:pPr>
      <w:r>
        <w:t xml:space="preserve">Les irrégularités visées aux al. 2 et 3 peuvent mener à la rétention des indemnités déjà accordées au cours de l’année. </w:t>
      </w:r>
    </w:p>
    <w:p w14:paraId="164BF95C" w14:textId="77777777" w:rsidR="00686D1D" w:rsidRDefault="00686D1D" w:rsidP="007E1676">
      <w:pPr>
        <w:ind w:right="0"/>
      </w:pPr>
    </w:p>
    <w:p w14:paraId="73DAD652" w14:textId="77777777" w:rsidR="0007639F" w:rsidRDefault="004D7863">
      <w:pPr>
        <w:pStyle w:val="Heading1"/>
        <w:ind w:left="-5" w:right="0"/>
      </w:pPr>
      <w:r>
        <w:t xml:space="preserve">Article 9. Révision du règlement </w:t>
      </w:r>
    </w:p>
    <w:p w14:paraId="59F6B23F" w14:textId="16554BFC" w:rsidR="00FF24D1" w:rsidRDefault="004D7863">
      <w:pPr>
        <w:numPr>
          <w:ilvl w:val="0"/>
          <w:numId w:val="9"/>
        </w:numPr>
        <w:ind w:right="0" w:hanging="360"/>
      </w:pPr>
      <w:r w:rsidRPr="1D0E713B">
        <w:t>La révision et la modification du présent règlement requièrent l’approbation de l’Assemblée générale des collaborateurs/</w:t>
      </w:r>
      <w:proofErr w:type="spellStart"/>
      <w:r w:rsidRPr="1D0E713B">
        <w:t>trices</w:t>
      </w:r>
      <w:proofErr w:type="spellEnd"/>
      <w:r w:rsidRPr="1D0E713B">
        <w:t xml:space="preserve"> scientifiques de l’Université de Fribourg.</w:t>
      </w:r>
    </w:p>
    <w:p w14:paraId="0DBECC90" w14:textId="094099F6" w:rsidR="0007639F" w:rsidRDefault="004D7863" w:rsidP="007E1676">
      <w:pPr>
        <w:numPr>
          <w:ilvl w:val="0"/>
          <w:numId w:val="9"/>
        </w:numPr>
        <w:ind w:right="0" w:hanging="360"/>
      </w:pPr>
      <w:r>
        <w:t>L</w:t>
      </w:r>
      <w:r w:rsidR="147E1E7F">
        <w:t xml:space="preserve">e Comité du CSWM </w:t>
      </w:r>
      <w:r>
        <w:t xml:space="preserve">se réserve le droit exceptionnel d’adapter le présent règlement à la situation. </w:t>
      </w:r>
    </w:p>
    <w:p w14:paraId="6BBA74B8" w14:textId="77777777" w:rsidR="0007639F" w:rsidRDefault="004D7863">
      <w:pPr>
        <w:spacing w:after="327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14:paraId="6B1CB0D3" w14:textId="77777777" w:rsidR="0007639F" w:rsidRDefault="004D7863">
      <w:pPr>
        <w:spacing w:after="0" w:line="259" w:lineRule="auto"/>
        <w:ind w:left="10" w:right="-9" w:hanging="10"/>
        <w:jc w:val="right"/>
      </w:pPr>
      <w:r>
        <w:rPr>
          <w:sz w:val="22"/>
        </w:rPr>
        <w:t xml:space="preserve">2 </w:t>
      </w:r>
    </w:p>
    <w:p w14:paraId="46B883C4" w14:textId="77777777" w:rsidR="0007639F" w:rsidRDefault="004D7863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</w:p>
    <w:p w14:paraId="2FA3CC72" w14:textId="77777777" w:rsidR="0007639F" w:rsidRDefault="004D7863">
      <w:pPr>
        <w:pStyle w:val="Heading1"/>
        <w:ind w:left="-5" w:right="0"/>
      </w:pPr>
      <w:r>
        <w:t xml:space="preserve">Annexe I </w:t>
      </w:r>
    </w:p>
    <w:tbl>
      <w:tblPr>
        <w:tblStyle w:val="TableGrid"/>
        <w:tblW w:w="9182" w:type="dxa"/>
        <w:tblInd w:w="-110" w:type="dxa"/>
        <w:tblCellMar>
          <w:top w:w="11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2098"/>
        <w:gridCol w:w="7084"/>
      </w:tblGrid>
      <w:tr w:rsidR="0007639F" w14:paraId="3301CD0C" w14:textId="77777777" w:rsidTr="1D0E713B">
        <w:trPr>
          <w:trHeight w:val="1723"/>
        </w:trPr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70DE0" w14:textId="77777777" w:rsidR="0007639F" w:rsidRDefault="004D7863">
            <w:pPr>
              <w:spacing w:after="197" w:line="244" w:lineRule="auto"/>
              <w:ind w:left="5" w:right="0" w:firstLine="0"/>
              <w:jc w:val="left"/>
            </w:pPr>
            <w:r>
              <w:rPr>
                <w:b/>
              </w:rPr>
              <w:t xml:space="preserve">Frais d’inscription ou de participation  </w:t>
            </w:r>
          </w:p>
          <w:p w14:paraId="700C29C2" w14:textId="77777777" w:rsidR="0007639F" w:rsidRDefault="004D7863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(</w:t>
            </w:r>
            <w:proofErr w:type="gramStart"/>
            <w:r>
              <w:rPr>
                <w:b/>
                <w:i/>
              </w:rPr>
              <w:t>registration</w:t>
            </w:r>
            <w:proofErr w:type="gram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fees</w:t>
            </w:r>
            <w:proofErr w:type="spellEnd"/>
            <w:r>
              <w:rPr>
                <w:b/>
              </w:rPr>
              <w:t>)</w:t>
            </w:r>
            <w:r>
              <w:t xml:space="preserve"> </w:t>
            </w:r>
          </w:p>
        </w:tc>
        <w:tc>
          <w:tcPr>
            <w:tcW w:w="7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ADA16" w14:textId="77777777" w:rsidR="0007639F" w:rsidRDefault="004D7863">
            <w:pPr>
              <w:spacing w:after="197" w:line="244" w:lineRule="auto"/>
              <w:ind w:left="0" w:right="0" w:firstLine="0"/>
            </w:pPr>
            <w:r>
              <w:t xml:space="preserve">Le remboursement couvre les frais d’inscription ainsi que les frais de toutes les activités figurant au programme. </w:t>
            </w:r>
          </w:p>
          <w:p w14:paraId="3E7D32F8" w14:textId="77777777" w:rsidR="0007639F" w:rsidRDefault="004D786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41917AD" w14:textId="77777777" w:rsidR="0007639F" w:rsidRDefault="004D786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Justificatifs à joindre : </w:t>
            </w:r>
            <w:r>
              <w:t xml:space="preserve"> </w:t>
            </w:r>
          </w:p>
          <w:p w14:paraId="31AE41E8" w14:textId="77777777" w:rsidR="0007639F" w:rsidRDefault="004D7863">
            <w:pPr>
              <w:spacing w:after="0" w:line="259" w:lineRule="auto"/>
              <w:ind w:left="0" w:right="0" w:firstLine="0"/>
              <w:jc w:val="left"/>
            </w:pPr>
            <w:r>
              <w:t xml:space="preserve">La confirmation de paiement de l’activité ou un extrait de compte. </w:t>
            </w:r>
          </w:p>
          <w:p w14:paraId="05233701" w14:textId="77777777" w:rsidR="0007639F" w:rsidRDefault="004D786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7639F" w14:paraId="014A3A83" w14:textId="77777777" w:rsidTr="1D0E713B">
        <w:trPr>
          <w:trHeight w:val="7114"/>
        </w:trPr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41B3A" w14:textId="77777777" w:rsidR="0007639F" w:rsidRDefault="004D7863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Frais de voyage </w:t>
            </w:r>
          </w:p>
        </w:tc>
        <w:tc>
          <w:tcPr>
            <w:tcW w:w="7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5600D" w14:textId="77777777" w:rsidR="0007639F" w:rsidRDefault="004D7863">
            <w:pPr>
              <w:spacing w:after="197" w:line="244" w:lineRule="auto"/>
              <w:ind w:left="0" w:right="0" w:firstLine="0"/>
              <w:jc w:val="left"/>
            </w:pPr>
            <w:r>
              <w:t xml:space="preserve">Seuls les frais de transports publics sont remboursés (les trajets en voiture ne sont pas pris en charge). </w:t>
            </w:r>
          </w:p>
          <w:p w14:paraId="6DB2C6B6" w14:textId="77777777" w:rsidR="0007639F" w:rsidRDefault="004D786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E7E14D9" w14:textId="77777777" w:rsidR="0007639F" w:rsidRDefault="004D7863">
            <w:pPr>
              <w:spacing w:after="213" w:line="259" w:lineRule="auto"/>
              <w:ind w:left="0" w:right="0" w:firstLine="0"/>
              <w:jc w:val="left"/>
            </w:pPr>
            <w:r>
              <w:rPr>
                <w:u w:val="single" w:color="000000"/>
              </w:rPr>
              <w:t>Trains en Suisse :</w:t>
            </w:r>
            <w:r>
              <w:t xml:space="preserve"> </w:t>
            </w:r>
          </w:p>
          <w:p w14:paraId="45F2B5DA" w14:textId="77777777" w:rsidR="0007639F" w:rsidRDefault="004D7863">
            <w:pPr>
              <w:numPr>
                <w:ilvl w:val="0"/>
                <w:numId w:val="10"/>
              </w:numPr>
              <w:spacing w:after="7" w:line="259" w:lineRule="auto"/>
              <w:ind w:right="0" w:hanging="360"/>
              <w:jc w:val="left"/>
            </w:pPr>
            <w:r>
              <w:t>2</w:t>
            </w:r>
            <w:r>
              <w:rPr>
                <w:vertAlign w:val="superscript"/>
              </w:rPr>
              <w:t>e</w:t>
            </w:r>
            <w:r>
              <w:t xml:space="preserve"> classe avec demi-tarif (cf. </w:t>
            </w:r>
            <w:r>
              <w:rPr>
                <w:color w:val="0000FF"/>
                <w:u w:val="single" w:color="0000FF"/>
              </w:rPr>
              <w:t>http://www.sbb.ch/home.html</w:t>
            </w:r>
            <w:r>
              <w:t xml:space="preserve">), </w:t>
            </w:r>
          </w:p>
          <w:p w14:paraId="0B375121" w14:textId="77777777" w:rsidR="0007639F" w:rsidRDefault="004D7863">
            <w:pPr>
              <w:numPr>
                <w:ilvl w:val="0"/>
                <w:numId w:val="10"/>
              </w:numPr>
              <w:spacing w:after="0" w:line="244" w:lineRule="auto"/>
              <w:ind w:right="0" w:hanging="360"/>
              <w:jc w:val="left"/>
            </w:pPr>
            <w:r>
              <w:t xml:space="preserve">En cas d’abonnement général CFF : un forfait de CHF 25,00 est accordé pour un trajet aller-retour. L’indemnisation forfaitaire ne peut toutefois pas dépasser les coûts effectifs du voyage (p.ex. Fribourg-Berne, aller-retour = CHF 13,60. Indiquer CHF 13,60 dans la feuille Excel et non CHF 25,00). </w:t>
            </w:r>
          </w:p>
          <w:p w14:paraId="643005CD" w14:textId="77777777" w:rsidR="0007639F" w:rsidRDefault="004D7863">
            <w:pPr>
              <w:spacing w:after="0" w:line="259" w:lineRule="auto"/>
              <w:ind w:left="489" w:right="0" w:firstLine="0"/>
              <w:jc w:val="left"/>
            </w:pPr>
            <w:r>
              <w:t xml:space="preserve"> </w:t>
            </w:r>
          </w:p>
          <w:p w14:paraId="215B66C3" w14:textId="77777777" w:rsidR="0007639F" w:rsidRDefault="004D7863">
            <w:pPr>
              <w:spacing w:after="203" w:line="259" w:lineRule="auto"/>
              <w:ind w:left="0" w:right="0" w:firstLine="0"/>
              <w:jc w:val="left"/>
            </w:pPr>
            <w:r>
              <w:rPr>
                <w:u w:val="single" w:color="000000"/>
              </w:rPr>
              <w:t>Trains à l’étranger :</w:t>
            </w:r>
            <w:r>
              <w:t xml:space="preserve"> </w:t>
            </w:r>
          </w:p>
          <w:p w14:paraId="4A81FFC9" w14:textId="77777777" w:rsidR="0007639F" w:rsidRDefault="004D7863">
            <w:pPr>
              <w:numPr>
                <w:ilvl w:val="0"/>
                <w:numId w:val="10"/>
              </w:numPr>
              <w:spacing w:after="0" w:line="259" w:lineRule="auto"/>
              <w:ind w:right="0" w:hanging="360"/>
              <w:jc w:val="left"/>
            </w:pPr>
            <w:r>
              <w:t>2</w:t>
            </w:r>
            <w:r>
              <w:rPr>
                <w:vertAlign w:val="superscript"/>
              </w:rPr>
              <w:t>e</w:t>
            </w:r>
            <w:r>
              <w:t xml:space="preserve"> classe </w:t>
            </w:r>
          </w:p>
          <w:p w14:paraId="783E9DA7" w14:textId="77777777" w:rsidR="0007639F" w:rsidRDefault="004D786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533157E" w14:textId="77777777" w:rsidR="0007639F" w:rsidRDefault="004D7863">
            <w:pPr>
              <w:spacing w:after="199" w:line="259" w:lineRule="auto"/>
              <w:ind w:left="0" w:right="0" w:firstLine="0"/>
              <w:jc w:val="left"/>
            </w:pPr>
            <w:r>
              <w:rPr>
                <w:u w:val="single" w:color="000000"/>
              </w:rPr>
              <w:t>Avion :</w:t>
            </w:r>
            <w:r>
              <w:t xml:space="preserve">  </w:t>
            </w:r>
          </w:p>
          <w:p w14:paraId="63CC45FB" w14:textId="77777777" w:rsidR="0007639F" w:rsidRDefault="004D7863">
            <w:pPr>
              <w:numPr>
                <w:ilvl w:val="0"/>
                <w:numId w:val="10"/>
              </w:numPr>
              <w:spacing w:after="0" w:line="259" w:lineRule="auto"/>
              <w:ind w:right="0" w:hanging="360"/>
              <w:jc w:val="left"/>
            </w:pPr>
            <w:r>
              <w:t xml:space="preserve">Classe économique </w:t>
            </w:r>
          </w:p>
          <w:p w14:paraId="2EA5ABC4" w14:textId="77777777" w:rsidR="0007639F" w:rsidRDefault="004D786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24BB422A" w14:textId="77777777" w:rsidR="0007639F" w:rsidRDefault="004D7863">
            <w:pPr>
              <w:spacing w:after="199" w:line="242" w:lineRule="auto"/>
              <w:ind w:left="0" w:right="52" w:firstLine="0"/>
            </w:pPr>
            <w:r>
              <w:t xml:space="preserve">Seul le trajet le plus direct et le plus rationnel de Fribourg au lieu de l’activité et retour sera indemnisé, à moins que le/la </w:t>
            </w:r>
            <w:proofErr w:type="spellStart"/>
            <w:r>
              <w:t>requérant-e</w:t>
            </w:r>
            <w:proofErr w:type="spellEnd"/>
            <w:r>
              <w:t xml:space="preserve"> ne prouve que les frais déclarés par lui/elle sont inférieurs. </w:t>
            </w:r>
          </w:p>
          <w:p w14:paraId="3EE6156E" w14:textId="77777777" w:rsidR="0007639F" w:rsidRDefault="004D7863">
            <w:pPr>
              <w:spacing w:after="183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BD10470" w14:textId="77777777" w:rsidR="0007639F" w:rsidRDefault="004D7863">
            <w:pPr>
              <w:spacing w:after="199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Documents à joindre : </w:t>
            </w:r>
          </w:p>
          <w:p w14:paraId="3CA4109C" w14:textId="77777777" w:rsidR="0007639F" w:rsidRDefault="004D7863">
            <w:pPr>
              <w:numPr>
                <w:ilvl w:val="0"/>
                <w:numId w:val="10"/>
              </w:numPr>
              <w:spacing w:after="0" w:line="251" w:lineRule="auto"/>
              <w:ind w:right="0" w:hanging="360"/>
              <w:jc w:val="left"/>
            </w:pPr>
            <w:r>
              <w:t xml:space="preserve">Billets originaux (les </w:t>
            </w:r>
            <w:r>
              <w:rPr>
                <w:i/>
              </w:rPr>
              <w:t>e-tickets</w:t>
            </w:r>
            <w:r>
              <w:t xml:space="preserve"> sont considérés comme des originaux) et, si disponible, l’extrait de relevé de compte ou de carte de crédit ; ou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Attestation de validité de l’abonnement général (quittance ou autre) ;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Le cas échéant : preuve du caractère économique des coûts déclarés. </w:t>
            </w:r>
          </w:p>
          <w:p w14:paraId="7D1DF4EE" w14:textId="77777777" w:rsidR="0007639F" w:rsidRDefault="004D7863">
            <w:pPr>
              <w:spacing w:after="0" w:line="259" w:lineRule="auto"/>
              <w:ind w:left="489" w:right="0" w:firstLine="0"/>
              <w:jc w:val="left"/>
            </w:pPr>
            <w:r>
              <w:t xml:space="preserve"> </w:t>
            </w:r>
          </w:p>
        </w:tc>
      </w:tr>
      <w:tr w:rsidR="0007639F" w14:paraId="7A05E7B3" w14:textId="77777777" w:rsidTr="1D0E713B">
        <w:trPr>
          <w:trHeight w:val="3264"/>
        </w:trPr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36439" w14:textId="77777777" w:rsidR="0007639F" w:rsidRDefault="004D7863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Frais d’hébergement </w:t>
            </w:r>
          </w:p>
        </w:tc>
        <w:tc>
          <w:tcPr>
            <w:tcW w:w="7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88DC3" w14:textId="77777777" w:rsidR="0007639F" w:rsidRDefault="004D7863">
            <w:pPr>
              <w:spacing w:after="0" w:line="244" w:lineRule="auto"/>
              <w:ind w:left="0" w:right="0" w:firstLine="0"/>
            </w:pPr>
            <w:r>
              <w:t xml:space="preserve">Remboursement d’un hôtel de classe moyenne (selon les prix locaux). Les frais d’hébergement prennent exclusivement en charge le/la </w:t>
            </w:r>
            <w:proofErr w:type="spellStart"/>
            <w:r>
              <w:t>requérant-e</w:t>
            </w:r>
            <w:proofErr w:type="spellEnd"/>
            <w:r>
              <w:t xml:space="preserve"> (</w:t>
            </w:r>
            <w:r>
              <w:rPr>
                <w:b/>
              </w:rPr>
              <w:t>une seule personne</w:t>
            </w:r>
            <w:r>
              <w:t xml:space="preserve">).  </w:t>
            </w:r>
          </w:p>
          <w:p w14:paraId="410359E1" w14:textId="77777777" w:rsidR="0007639F" w:rsidRDefault="004D786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89BDB6A" w14:textId="77777777" w:rsidR="0007639F" w:rsidRDefault="004D7863">
            <w:pPr>
              <w:spacing w:after="0" w:line="242" w:lineRule="auto"/>
              <w:ind w:left="0" w:right="52" w:firstLine="0"/>
            </w:pPr>
            <w:r>
              <w:t xml:space="preserve">Les frais d’hébergement sont remboursés pour la durée de l’événement. En cas d’impossibilité d’arriver ou de repartir le jour-même du début ou de la fin de l’activité, il est possible d’ajouter au maximum la nuitée précédant l’activité et celle la suivant. </w:t>
            </w:r>
          </w:p>
          <w:p w14:paraId="4E3D40B5" w14:textId="77777777" w:rsidR="0007639F" w:rsidRDefault="004D786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EE8395F" w14:textId="628D0D59" w:rsidR="0007639F" w:rsidRPr="002C3B9E" w:rsidRDefault="1C424EB8" w:rsidP="1D0E713B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  <w:lang w:val="fr-FR"/>
              </w:rPr>
            </w:pPr>
            <w:r w:rsidRPr="1D0E713B">
              <w:rPr>
                <w:color w:val="000000" w:themeColor="text1"/>
                <w:lang w:val="fr-FR"/>
              </w:rPr>
              <w:t>Les frais de repas ne sont pas pris en charge.</w:t>
            </w:r>
          </w:p>
          <w:p w14:paraId="4DEDAE47" w14:textId="77777777" w:rsidR="0007639F" w:rsidRDefault="004D7863">
            <w:pPr>
              <w:spacing w:after="188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243BF8C" w14:textId="77777777" w:rsidR="0007639F" w:rsidRDefault="004D7863">
            <w:pPr>
              <w:spacing w:after="199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Documents à joindre : </w:t>
            </w:r>
          </w:p>
          <w:p w14:paraId="6C182AF5" w14:textId="77777777" w:rsidR="0007639F" w:rsidRDefault="004D7863">
            <w:pPr>
              <w:numPr>
                <w:ilvl w:val="0"/>
                <w:numId w:val="11"/>
              </w:numPr>
              <w:spacing w:after="0" w:line="259" w:lineRule="auto"/>
              <w:ind w:right="0" w:hanging="129"/>
              <w:jc w:val="left"/>
            </w:pPr>
            <w:r>
              <w:t xml:space="preserve">Facture de l’hôtel </w:t>
            </w:r>
          </w:p>
          <w:p w14:paraId="68C21E00" w14:textId="77777777" w:rsidR="0007639F" w:rsidRDefault="004D7863">
            <w:pPr>
              <w:numPr>
                <w:ilvl w:val="0"/>
                <w:numId w:val="11"/>
              </w:numPr>
              <w:spacing w:after="0" w:line="259" w:lineRule="auto"/>
              <w:ind w:right="0" w:hanging="129"/>
              <w:jc w:val="left"/>
            </w:pPr>
            <w:r>
              <w:t xml:space="preserve">Extrait de compte ou de carte de crédit (si disponible) </w:t>
            </w:r>
          </w:p>
        </w:tc>
      </w:tr>
    </w:tbl>
    <w:p w14:paraId="4F96A7FA" w14:textId="77777777" w:rsidR="0007639F" w:rsidRDefault="004D7863">
      <w:pPr>
        <w:spacing w:after="183" w:line="259" w:lineRule="auto"/>
        <w:ind w:left="0" w:right="0" w:firstLine="0"/>
        <w:jc w:val="left"/>
      </w:pPr>
      <w:r>
        <w:t xml:space="preserve"> </w:t>
      </w:r>
    </w:p>
    <w:p w14:paraId="61B6F583" w14:textId="2B560135" w:rsidR="0007639F" w:rsidRDefault="004D7863">
      <w:pPr>
        <w:spacing w:after="191"/>
        <w:ind w:left="0" w:right="0" w:firstLine="0"/>
      </w:pPr>
      <w:r>
        <w:rPr>
          <w:b/>
        </w:rPr>
        <w:t>Aucun frais</w:t>
      </w:r>
      <w:r>
        <w:t xml:space="preserve"> </w:t>
      </w:r>
      <w:r>
        <w:rPr>
          <w:b/>
        </w:rPr>
        <w:t>supplémentaire</w:t>
      </w:r>
      <w:r>
        <w:t xml:space="preserve">, outre ceux susmentionnés, n’est remboursé. </w:t>
      </w:r>
    </w:p>
    <w:p w14:paraId="15C5968A" w14:textId="3FAC84BC" w:rsidR="002C3B9E" w:rsidRPr="002C3B9E" w:rsidRDefault="002C3B9E" w:rsidP="002C3B9E">
      <w:pPr>
        <w:spacing w:after="625" w:line="259" w:lineRule="auto"/>
        <w:ind w:left="0" w:right="0" w:firstLine="0"/>
        <w:jc w:val="left"/>
      </w:pPr>
    </w:p>
    <w:sectPr w:rsidR="002C3B9E" w:rsidRPr="002C3B9E" w:rsidSect="0069777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31" w:right="1404" w:bottom="705" w:left="1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009CF" w14:textId="77777777" w:rsidR="00AB6BE8" w:rsidRDefault="00AB6BE8" w:rsidP="00311A1C">
      <w:pPr>
        <w:spacing w:after="0" w:line="240" w:lineRule="auto"/>
      </w:pPr>
      <w:r>
        <w:separator/>
      </w:r>
    </w:p>
  </w:endnote>
  <w:endnote w:type="continuationSeparator" w:id="0">
    <w:p w14:paraId="11D41ED7" w14:textId="77777777" w:rsidR="00AB6BE8" w:rsidRDefault="00AB6BE8" w:rsidP="00311A1C">
      <w:pPr>
        <w:spacing w:after="0" w:line="240" w:lineRule="auto"/>
      </w:pPr>
      <w:r>
        <w:continuationSeparator/>
      </w:r>
    </w:p>
  </w:endnote>
  <w:endnote w:type="continuationNotice" w:id="1">
    <w:p w14:paraId="249469F0" w14:textId="77777777" w:rsidR="00AB6BE8" w:rsidRDefault="00AB6B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39C9B" w14:textId="77777777" w:rsidR="00311A1C" w:rsidRDefault="00311A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36ADA" w14:textId="77777777" w:rsidR="00311A1C" w:rsidRDefault="00311A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7DA84" w14:textId="77777777" w:rsidR="00311A1C" w:rsidRDefault="00311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B432F" w14:textId="77777777" w:rsidR="00AB6BE8" w:rsidRDefault="00AB6BE8" w:rsidP="00311A1C">
      <w:pPr>
        <w:spacing w:after="0" w:line="240" w:lineRule="auto"/>
      </w:pPr>
      <w:r>
        <w:separator/>
      </w:r>
    </w:p>
  </w:footnote>
  <w:footnote w:type="continuationSeparator" w:id="0">
    <w:p w14:paraId="67DDB21F" w14:textId="77777777" w:rsidR="00AB6BE8" w:rsidRDefault="00AB6BE8" w:rsidP="00311A1C">
      <w:pPr>
        <w:spacing w:after="0" w:line="240" w:lineRule="auto"/>
      </w:pPr>
      <w:r>
        <w:continuationSeparator/>
      </w:r>
    </w:p>
  </w:footnote>
  <w:footnote w:type="continuationNotice" w:id="1">
    <w:p w14:paraId="1538A8A6" w14:textId="77777777" w:rsidR="00AB6BE8" w:rsidRDefault="00AB6B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D25B5" w14:textId="77777777" w:rsidR="00311A1C" w:rsidRDefault="00311A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8FAA6" w14:textId="77777777" w:rsidR="00311A1C" w:rsidRDefault="00311A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9D0C9" w14:textId="77777777" w:rsidR="00311A1C" w:rsidRDefault="00311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203B3"/>
    <w:multiLevelType w:val="hybridMultilevel"/>
    <w:tmpl w:val="4874FD3C"/>
    <w:lvl w:ilvl="0" w:tplc="92343B36">
      <w:start w:val="1"/>
      <w:numFmt w:val="decimal"/>
      <w:lvlText w:val="(%1)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CB2D4D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69C8AC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2443266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F3A9198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92CE80C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854C4D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F8C63B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6A445B6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0568BE"/>
    <w:multiLevelType w:val="hybridMultilevel"/>
    <w:tmpl w:val="20221A44"/>
    <w:lvl w:ilvl="0" w:tplc="EC54FEE6">
      <w:start w:val="1"/>
      <w:numFmt w:val="bullet"/>
      <w:lvlText w:val="-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556608C">
      <w:start w:val="1"/>
      <w:numFmt w:val="bullet"/>
      <w:lvlText w:val="o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652ECCA">
      <w:start w:val="1"/>
      <w:numFmt w:val="bullet"/>
      <w:lvlText w:val="▪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1360994">
      <w:start w:val="1"/>
      <w:numFmt w:val="bullet"/>
      <w:lvlText w:val="•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69CFD4A">
      <w:start w:val="1"/>
      <w:numFmt w:val="bullet"/>
      <w:lvlText w:val="o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F40A8F2">
      <w:start w:val="1"/>
      <w:numFmt w:val="bullet"/>
      <w:lvlText w:val="▪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1AABBA4">
      <w:start w:val="1"/>
      <w:numFmt w:val="bullet"/>
      <w:lvlText w:val="•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A146DBE">
      <w:start w:val="1"/>
      <w:numFmt w:val="bullet"/>
      <w:lvlText w:val="o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87EEF2C">
      <w:start w:val="1"/>
      <w:numFmt w:val="bullet"/>
      <w:lvlText w:val="▪"/>
      <w:lvlJc w:val="left"/>
      <w:pPr>
        <w:ind w:left="6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036A17"/>
    <w:multiLevelType w:val="hybridMultilevel"/>
    <w:tmpl w:val="7A381CF0"/>
    <w:lvl w:ilvl="0" w:tplc="92F448A0">
      <w:start w:val="1"/>
      <w:numFmt w:val="bullet"/>
      <w:lvlText w:val="-"/>
      <w:lvlJc w:val="left"/>
      <w:pPr>
        <w:ind w:left="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C400B8C">
      <w:start w:val="1"/>
      <w:numFmt w:val="bullet"/>
      <w:lvlText w:val="o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CE4D456">
      <w:start w:val="1"/>
      <w:numFmt w:val="bullet"/>
      <w:lvlText w:val="▪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686A242">
      <w:start w:val="1"/>
      <w:numFmt w:val="bullet"/>
      <w:lvlText w:val="•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BF21028">
      <w:start w:val="1"/>
      <w:numFmt w:val="bullet"/>
      <w:lvlText w:val="o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5581B62">
      <w:start w:val="1"/>
      <w:numFmt w:val="bullet"/>
      <w:lvlText w:val="▪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4B6086A">
      <w:start w:val="1"/>
      <w:numFmt w:val="bullet"/>
      <w:lvlText w:val="•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580C532">
      <w:start w:val="1"/>
      <w:numFmt w:val="bullet"/>
      <w:lvlText w:val="o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822A060">
      <w:start w:val="1"/>
      <w:numFmt w:val="bullet"/>
      <w:lvlText w:val="▪"/>
      <w:lvlJc w:val="left"/>
      <w:pPr>
        <w:ind w:left="6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5E1F44"/>
    <w:multiLevelType w:val="hybridMultilevel"/>
    <w:tmpl w:val="53347B2C"/>
    <w:lvl w:ilvl="0" w:tplc="EE4C843C">
      <w:start w:val="1"/>
      <w:numFmt w:val="decimal"/>
      <w:lvlText w:val="(%1)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89A505A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A880EF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7461188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F22931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46A4B2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F3AA122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BF6E63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D2860F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1C0E9B"/>
    <w:multiLevelType w:val="hybridMultilevel"/>
    <w:tmpl w:val="FA2AE82C"/>
    <w:lvl w:ilvl="0" w:tplc="5D02694C">
      <w:start w:val="1"/>
      <w:numFmt w:val="decimal"/>
      <w:lvlText w:val="(%1)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7680E28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6381A9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D5C60DC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4889706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5820604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CC6CE0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97E63D4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A1A254E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4E26C0"/>
    <w:multiLevelType w:val="hybridMultilevel"/>
    <w:tmpl w:val="B7EA169A"/>
    <w:lvl w:ilvl="0" w:tplc="7E3AF0A6">
      <w:start w:val="1"/>
      <w:numFmt w:val="decimal"/>
      <w:lvlText w:val="(%1)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EA43820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57269F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7C22B88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72CCCC6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974D138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52F4A8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A4E207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6F6B97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075BBC"/>
    <w:multiLevelType w:val="hybridMultilevel"/>
    <w:tmpl w:val="FB70B7E2"/>
    <w:lvl w:ilvl="0" w:tplc="FE66285E">
      <w:start w:val="1"/>
      <w:numFmt w:val="decimal"/>
      <w:lvlText w:val="(%1)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A789944">
      <w:start w:val="1"/>
      <w:numFmt w:val="low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FFABA6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A023DD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7A44AC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6FE63F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502EFF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F4AF7D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5666BA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235B84"/>
    <w:multiLevelType w:val="hybridMultilevel"/>
    <w:tmpl w:val="5E323024"/>
    <w:lvl w:ilvl="0" w:tplc="43E4008C">
      <w:start w:val="1"/>
      <w:numFmt w:val="decimal"/>
      <w:lvlText w:val="(%1)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C2453F2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C187680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8F4544C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1C2A8A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3A4762C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36EEEE2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AC41612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770198E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CB94E67"/>
    <w:multiLevelType w:val="hybridMultilevel"/>
    <w:tmpl w:val="365A9C84"/>
    <w:lvl w:ilvl="0" w:tplc="F1142598">
      <w:start w:val="1"/>
      <w:numFmt w:val="decimal"/>
      <w:lvlText w:val="(%1)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3424DF2">
      <w:start w:val="1"/>
      <w:numFmt w:val="low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FEE980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3C4BDC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716F61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A22C6E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F10D50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79E2A7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87845A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D613FE"/>
    <w:multiLevelType w:val="hybridMultilevel"/>
    <w:tmpl w:val="468856E8"/>
    <w:lvl w:ilvl="0" w:tplc="7CA8D360">
      <w:start w:val="1"/>
      <w:numFmt w:val="decimal"/>
      <w:lvlText w:val="(%1)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A34178E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6E4A40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7E4C6E6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8EC3EC8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7E4674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9B81338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18A6A1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2DAB98C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9FB5F93"/>
    <w:multiLevelType w:val="hybridMultilevel"/>
    <w:tmpl w:val="D006F674"/>
    <w:lvl w:ilvl="0" w:tplc="66401DFC">
      <w:start w:val="1"/>
      <w:numFmt w:val="decimal"/>
      <w:lvlText w:val="(%1)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D864F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80143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761054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48198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B8277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F6890E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E4FEE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D401D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9307069">
    <w:abstractNumId w:val="7"/>
  </w:num>
  <w:num w:numId="2" w16cid:durableId="708847159">
    <w:abstractNumId w:val="9"/>
  </w:num>
  <w:num w:numId="3" w16cid:durableId="1467090696">
    <w:abstractNumId w:val="6"/>
  </w:num>
  <w:num w:numId="4" w16cid:durableId="1077021534">
    <w:abstractNumId w:val="0"/>
  </w:num>
  <w:num w:numId="5" w16cid:durableId="1634480615">
    <w:abstractNumId w:val="8"/>
  </w:num>
  <w:num w:numId="6" w16cid:durableId="1840846878">
    <w:abstractNumId w:val="3"/>
  </w:num>
  <w:num w:numId="7" w16cid:durableId="243415202">
    <w:abstractNumId w:val="10"/>
  </w:num>
  <w:num w:numId="8" w16cid:durableId="245695870">
    <w:abstractNumId w:val="4"/>
  </w:num>
  <w:num w:numId="9" w16cid:durableId="63141213">
    <w:abstractNumId w:val="5"/>
  </w:num>
  <w:num w:numId="10" w16cid:durableId="102499177">
    <w:abstractNumId w:val="2"/>
  </w:num>
  <w:num w:numId="11" w16cid:durableId="897201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9F"/>
    <w:rsid w:val="00001D35"/>
    <w:rsid w:val="00052160"/>
    <w:rsid w:val="0007639F"/>
    <w:rsid w:val="00083920"/>
    <w:rsid w:val="000B5EFD"/>
    <w:rsid w:val="00126B1F"/>
    <w:rsid w:val="001465EF"/>
    <w:rsid w:val="001861E6"/>
    <w:rsid w:val="001964F7"/>
    <w:rsid w:val="001C61AA"/>
    <w:rsid w:val="001F4256"/>
    <w:rsid w:val="00207600"/>
    <w:rsid w:val="002354A5"/>
    <w:rsid w:val="002429F0"/>
    <w:rsid w:val="0025104F"/>
    <w:rsid w:val="002C1DB4"/>
    <w:rsid w:val="002C3B9E"/>
    <w:rsid w:val="002C5D33"/>
    <w:rsid w:val="003119D4"/>
    <w:rsid w:val="00311A1C"/>
    <w:rsid w:val="00312AF5"/>
    <w:rsid w:val="0032777B"/>
    <w:rsid w:val="00327B40"/>
    <w:rsid w:val="00394295"/>
    <w:rsid w:val="003B5E5F"/>
    <w:rsid w:val="004003A7"/>
    <w:rsid w:val="00431397"/>
    <w:rsid w:val="0049259A"/>
    <w:rsid w:val="004D3661"/>
    <w:rsid w:val="004D7863"/>
    <w:rsid w:val="0050028F"/>
    <w:rsid w:val="0055299A"/>
    <w:rsid w:val="00565CE0"/>
    <w:rsid w:val="0059398C"/>
    <w:rsid w:val="00672596"/>
    <w:rsid w:val="00686D1D"/>
    <w:rsid w:val="0069777F"/>
    <w:rsid w:val="006D152C"/>
    <w:rsid w:val="007669BA"/>
    <w:rsid w:val="00767A63"/>
    <w:rsid w:val="0079240A"/>
    <w:rsid w:val="007B5E94"/>
    <w:rsid w:val="007E1676"/>
    <w:rsid w:val="00895CC0"/>
    <w:rsid w:val="008F4487"/>
    <w:rsid w:val="00913B65"/>
    <w:rsid w:val="009159DA"/>
    <w:rsid w:val="009208FD"/>
    <w:rsid w:val="00967722"/>
    <w:rsid w:val="00992B76"/>
    <w:rsid w:val="009F73E5"/>
    <w:rsid w:val="00A15A99"/>
    <w:rsid w:val="00A34269"/>
    <w:rsid w:val="00A825CF"/>
    <w:rsid w:val="00A87039"/>
    <w:rsid w:val="00A942AB"/>
    <w:rsid w:val="00AB6BE8"/>
    <w:rsid w:val="00B0568E"/>
    <w:rsid w:val="00B51386"/>
    <w:rsid w:val="00BC688A"/>
    <w:rsid w:val="00C23486"/>
    <w:rsid w:val="00CF0B1F"/>
    <w:rsid w:val="00D14A50"/>
    <w:rsid w:val="00EA41D2"/>
    <w:rsid w:val="00EF5C01"/>
    <w:rsid w:val="00F05623"/>
    <w:rsid w:val="00F375A2"/>
    <w:rsid w:val="00FC661E"/>
    <w:rsid w:val="00FF24D1"/>
    <w:rsid w:val="0353027A"/>
    <w:rsid w:val="0E179193"/>
    <w:rsid w:val="0FFA3C3D"/>
    <w:rsid w:val="10554522"/>
    <w:rsid w:val="114C13F4"/>
    <w:rsid w:val="118A2118"/>
    <w:rsid w:val="147E1E7F"/>
    <w:rsid w:val="14B11D91"/>
    <w:rsid w:val="14BB5F2E"/>
    <w:rsid w:val="14CE04BB"/>
    <w:rsid w:val="1C33B222"/>
    <w:rsid w:val="1C424EB8"/>
    <w:rsid w:val="1D0E713B"/>
    <w:rsid w:val="1D684B25"/>
    <w:rsid w:val="20BC5D1B"/>
    <w:rsid w:val="232F8171"/>
    <w:rsid w:val="2A8124B9"/>
    <w:rsid w:val="2C01800B"/>
    <w:rsid w:val="2F624BEB"/>
    <w:rsid w:val="30933632"/>
    <w:rsid w:val="336BD095"/>
    <w:rsid w:val="360BDC66"/>
    <w:rsid w:val="389E4F15"/>
    <w:rsid w:val="3B79C190"/>
    <w:rsid w:val="3F351B88"/>
    <w:rsid w:val="42D676A5"/>
    <w:rsid w:val="44099BF2"/>
    <w:rsid w:val="44D578C4"/>
    <w:rsid w:val="470A9D52"/>
    <w:rsid w:val="4788DC16"/>
    <w:rsid w:val="47BE7EC5"/>
    <w:rsid w:val="480D503A"/>
    <w:rsid w:val="4DCCC135"/>
    <w:rsid w:val="4F41FC38"/>
    <w:rsid w:val="519C0341"/>
    <w:rsid w:val="53D097FB"/>
    <w:rsid w:val="5681DC20"/>
    <w:rsid w:val="59D71303"/>
    <w:rsid w:val="5AA5023A"/>
    <w:rsid w:val="5B72DA9C"/>
    <w:rsid w:val="5EDFE5D1"/>
    <w:rsid w:val="611B59DC"/>
    <w:rsid w:val="61BCBC7F"/>
    <w:rsid w:val="64736F32"/>
    <w:rsid w:val="65D12014"/>
    <w:rsid w:val="66C57AE6"/>
    <w:rsid w:val="68559BBB"/>
    <w:rsid w:val="68F45B0A"/>
    <w:rsid w:val="6947E61A"/>
    <w:rsid w:val="6A4A2289"/>
    <w:rsid w:val="6AB35F6C"/>
    <w:rsid w:val="6C80A21F"/>
    <w:rsid w:val="6CB82C75"/>
    <w:rsid w:val="6D7D495F"/>
    <w:rsid w:val="773AB91B"/>
    <w:rsid w:val="7BA63793"/>
    <w:rsid w:val="7F54F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1C15D"/>
  <w15:docId w15:val="{4501AA71-32F0-4890-9973-43BF7873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367" w:right="6" w:hanging="367"/>
      <w:jc w:val="both"/>
    </w:pPr>
    <w:rPr>
      <w:rFonts w:ascii="Times New Roman" w:eastAsia="Times New Roman" w:hAnsi="Times New Roman" w:cs="Times New Roman"/>
      <w:color w:val="000000"/>
      <w:sz w:val="19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2" w:lineRule="auto"/>
      <w:ind w:left="10" w:right="5" w:hanging="10"/>
      <w:outlineLvl w:val="0"/>
    </w:pPr>
    <w:rPr>
      <w:rFonts w:ascii="Times New Roman" w:eastAsia="Times New Roman" w:hAnsi="Times New Roman" w:cs="Times New Roman"/>
      <w:b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1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A1C"/>
    <w:rPr>
      <w:rFonts w:ascii="Times New Roman" w:eastAsia="Times New Roman" w:hAnsi="Times New Roman" w:cs="Times New Roman"/>
      <w:color w:val="000000"/>
      <w:sz w:val="19"/>
    </w:rPr>
  </w:style>
  <w:style w:type="paragraph" w:styleId="Footer">
    <w:name w:val="footer"/>
    <w:basedOn w:val="Normal"/>
    <w:link w:val="FooterChar"/>
    <w:uiPriority w:val="99"/>
    <w:unhideWhenUsed/>
    <w:rsid w:val="00311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A1C"/>
    <w:rPr>
      <w:rFonts w:ascii="Times New Roman" w:eastAsia="Times New Roman" w:hAnsi="Times New Roman" w:cs="Times New Roman"/>
      <w:color w:val="000000"/>
      <w:sz w:val="19"/>
    </w:rPr>
  </w:style>
  <w:style w:type="paragraph" w:styleId="Revision">
    <w:name w:val="Revision"/>
    <w:hidden/>
    <w:uiPriority w:val="99"/>
    <w:semiHidden/>
    <w:rsid w:val="002C1DB4"/>
    <w:pPr>
      <w:spacing w:after="0" w:line="240" w:lineRule="auto"/>
    </w:pPr>
    <w:rPr>
      <w:rFonts w:ascii="Times New Roman" w:eastAsia="Times New Roman" w:hAnsi="Times New Roman" w:cs="Times New Roman"/>
      <w:color w:val="000000"/>
      <w:sz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6725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5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59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5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59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825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5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1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swm@unifr.c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E6DA34A24D448B585B666FB1C7092" ma:contentTypeVersion="4" ma:contentTypeDescription="Create a new document." ma:contentTypeScope="" ma:versionID="22a41607c60d599a15ea041708cf7033">
  <xsd:schema xmlns:xsd="http://www.w3.org/2001/XMLSchema" xmlns:xs="http://www.w3.org/2001/XMLSchema" xmlns:p="http://schemas.microsoft.com/office/2006/metadata/properties" xmlns:ns2="7b14bdc2-3756-422c-918c-020598aa6b71" targetNamespace="http://schemas.microsoft.com/office/2006/metadata/properties" ma:root="true" ma:fieldsID="5b4123e0a582c80c5df808c7e646d07b" ns2:_="">
    <xsd:import namespace="7b14bdc2-3756-422c-918c-020598aa6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4bdc2-3756-422c-918c-020598aa6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EB5C0B-275B-4592-8FD2-19444EACC1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C09138-0530-4B00-8E0A-51C4B6846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4bdc2-3756-422c-918c-020598aa6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19F145-5E73-4430-93A8-DEC23B9B7E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1408</Words>
  <Characters>8437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Réglement formatio continue FR_FINAL</vt:lpstr>
    </vt:vector>
  </TitlesOfParts>
  <Company>UNIFR</Company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Réglement formatio continue FR_FINAL</dc:title>
  <dc:subject/>
  <dc:creator>Delphine Vincent</dc:creator>
  <cp:keywords/>
  <cp:lastModifiedBy>Mara Reidy</cp:lastModifiedBy>
  <cp:revision>3</cp:revision>
  <cp:lastPrinted>2024-11-18T10:18:00Z</cp:lastPrinted>
  <dcterms:created xsi:type="dcterms:W3CDTF">2026-03-12T11:05:00Z</dcterms:created>
  <dcterms:modified xsi:type="dcterms:W3CDTF">2026-03-21T10:16:00Z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0x01010044DE6DA34A24D448B585B666FB1C7092</vt:lpwstr>
  </property>
</Properties>
</file>